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w:t>
      </w:r>
      <w:r>
        <w:rPr>
          <w:color w:val="000000"/>
        </w:rPr>
        <w:t>9</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pPr>
      <w:bookmarkStart w:id="7" w:name="_cshcgyywvi9n"/>
      <w:bookmarkEnd w:id="7"/>
      <w:r>
        <w:rPr/>
        <w:t>About</w:t>
      </w:r>
    </w:p>
    <w:p>
      <w:pPr>
        <w:pStyle w:val="Normal"/>
        <w:rPr>
          <w:color w:val="000000"/>
        </w:rPr>
      </w:pPr>
      <w:bookmarkStart w:id="8" w:name="docs-internal-guid-25d64b63-7fff-de2e-25"/>
      <w:bookmarkEnd w:id="8"/>
      <w:r>
        <w:rPr>
          <w:color w:val="000000"/>
        </w:rPr>
        <w:t xml:space="preserve">Lo </w:t>
      </w:r>
      <w:r>
        <w:rPr>
          <w:b/>
          <w:bCs/>
          <w:color w:val="000000"/>
        </w:rPr>
        <w:t>smartkit-web</w:t>
      </w:r>
      <w:r>
        <w:rPr>
          <w:b/>
          <w:bCs/>
          <w:i/>
          <w:color w:val="000000"/>
        </w:rPr>
        <w:t xml:space="preserve"> </w:t>
      </w:r>
      <w:bookmarkStart w:id="9" w:name="docs-internal-guid-30fbf920-7fff-57f7-fd"/>
      <w:bookmarkEnd w:id="9"/>
      <w:r>
        <w:rPr>
          <w:color w:val="000000"/>
        </w:rPr>
        <w:t xml:space="preserve">è lo strumento che facilita l’installazione e la manutenzione di una o più istanze di WebUP, il client web di </w:t>
      </w:r>
      <w:r>
        <w:rPr>
          <w:b/>
          <w:bCs/>
          <w:color w:val="000000"/>
        </w:rPr>
        <w:t>smeup</w:t>
      </w:r>
      <w:r>
        <w:rPr>
          <w:color w:val="000000"/>
        </w:rPr>
        <w:t xml:space="preserve">. </w:t>
      </w:r>
    </w:p>
    <w:p>
      <w:pPr>
        <w:pStyle w:val="Normal"/>
        <w:rPr/>
      </w:pPr>
      <w:r>
        <w:rPr>
          <w:color w:val="000000"/>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rPr>
      </w:pPr>
      <w:r>
        <w:rPr>
          <w:color w:val="000000"/>
        </w:rPr>
      </w:r>
    </w:p>
    <w:p>
      <w:pPr>
        <w:pStyle w:val="Normal"/>
        <w:rPr>
          <w:color w:val="000000"/>
        </w:rPr>
      </w:pPr>
      <w:r>
        <w:rPr>
          <w:color w:val="000000"/>
        </w:rPr>
        <w:t xml:space="preserve">La </w:t>
      </w:r>
      <w:r>
        <w:rPr>
          <w:b/>
          <w:bCs/>
          <w:color w:val="000000"/>
        </w:rPr>
        <w:t xml:space="preserve">wup-net </w:t>
      </w:r>
      <w:r>
        <w:rPr>
          <w:color w:val="000000"/>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rPr>
      </w:pPr>
      <w:r>
        <w:rPr>
          <w:color w:val="000000"/>
        </w:rPr>
      </w:r>
    </w:p>
    <w:p>
      <w:pPr>
        <w:pStyle w:val="TextBody"/>
        <w:rPr/>
      </w:pPr>
      <w:r>
        <w:rPr/>
        <w:t xml:space="preserve">Su una macchina è possibile installare un solo smartkit-web con </w:t>
      </w:r>
      <w:r>
        <w:rPr>
          <w:i/>
          <w:iCs/>
        </w:rPr>
        <w:t xml:space="preserve">n </w:t>
      </w:r>
      <w:r>
        <w:rPr/>
        <w:t>istanze di wup-net.</w:t>
      </w:r>
    </w:p>
    <w:p>
      <w:pPr>
        <w:pStyle w:val="TextBody"/>
        <w:rPr/>
      </w:pPr>
      <w:r>
        <w:rPr/>
      </w:r>
    </w:p>
    <w:p>
      <w:pPr>
        <w:pStyle w:val="Heading1"/>
        <w:rPr/>
      </w:pPr>
      <w:r>
        <w:rPr/>
        <w:t>Download</w:t>
      </w:r>
    </w:p>
    <w:p>
      <w:pPr>
        <w:pStyle w:val="Heading2"/>
        <w:rPr/>
      </w:pPr>
      <w:bookmarkStart w:id="10" w:name="docs-internal-guid-636213c9-7fff-8b8e-c7"/>
      <w:bookmarkEnd w:id="10"/>
      <w:r>
        <w:rPr/>
        <w:t>Prerequisito</w:t>
      </w:r>
    </w:p>
    <w:p>
      <w:pPr>
        <w:pStyle w:val="Normal"/>
        <w:rPr/>
      </w:pPr>
      <w:r>
        <w:rPr/>
        <w:t xml:space="preserve">Per il corretto funzionamento dello smartkit-web è necessario e consigliabile scaricare ed installare precedentemente lo smartkit-commons. </w:t>
      </w:r>
    </w:p>
    <w:p>
      <w:pPr>
        <w:pStyle w:val="Normal"/>
        <w:rPr/>
      </w:pPr>
      <w:r>
        <w:rPr/>
        <w:t>Tramite lo smartkit-commons sarà poi possibile installare lo smartkit-web all’ultima versione rilasciata.</w:t>
      </w:r>
    </w:p>
    <w:p>
      <w:pPr>
        <w:pStyle w:val="Normal"/>
        <w:rPr/>
      </w:pPr>
      <w:r>
        <w:rPr/>
      </w:r>
    </w:p>
    <w:p>
      <w:pPr>
        <w:pStyle w:val="Normal"/>
        <w:rPr/>
      </w:pPr>
      <w:r>
        <w:rPr/>
        <w:t>Per dettagli sullo smartkit-commons si rimanda alla relativa documentazione.</w:t>
      </w:r>
    </w:p>
    <w:p>
      <w:pPr>
        <w:pStyle w:val="Normal"/>
        <w:rPr/>
      </w:pPr>
      <w:r>
        <w:rPr/>
      </w:r>
    </w:p>
    <w:p>
      <w:pPr>
        <w:pStyle w:val="Normal"/>
        <w:rPr/>
      </w:pPr>
      <w:r>
        <w:rPr/>
      </w:r>
    </w:p>
    <w:p>
      <w:pPr>
        <w:pStyle w:val="Normal"/>
        <w:rPr/>
      </w:pPr>
      <w:r>
        <w:rPr/>
      </w:r>
      <w:r>
        <w:br w:type="page"/>
      </w:r>
    </w:p>
    <w:p>
      <w:pPr>
        <w:pStyle w:val="Heading1"/>
        <w:rPr/>
      </w:pPr>
      <w:r>
        <w:rPr/>
        <w:t>Sviluppo</w:t>
      </w:r>
    </w:p>
    <w:p>
      <w:pPr>
        <w:pStyle w:val="Normal"/>
        <w:rPr/>
      </w:pPr>
      <w:r>
        <w:rPr/>
        <w:t>Il software di wup-net collegato a questa release è il seguente:</w:t>
      </w:r>
    </w:p>
    <w:p>
      <w:pPr>
        <w:pStyle w:val="Normal"/>
        <w:numPr>
          <w:ilvl w:val="0"/>
          <w:numId w:val="8"/>
        </w:numPr>
        <w:ind w:left="720" w:hanging="360"/>
        <w:rPr/>
      </w:pPr>
      <w:bookmarkStart w:id="11" w:name="__DdeLink__639_3289227988"/>
      <w:bookmarkStart w:id="12" w:name="__DdeLink__518_4004647804"/>
      <w:r>
        <w:rPr/>
        <w:t>Web.UP</w:t>
      </w:r>
      <w:bookmarkEnd w:id="11"/>
      <w:bookmarkEnd w:id="12"/>
      <w:r>
        <w:rPr/>
        <w:t xml:space="preserve"> 1.19.</w:t>
      </w:r>
      <w:r>
        <w:rPr/>
        <w:t>6</w:t>
      </w:r>
      <w:r>
        <w:rPr/>
        <w:t xml:space="preserve"> su Payara Server 5.2021.9</w:t>
      </w:r>
    </w:p>
    <w:p>
      <w:pPr>
        <w:pStyle w:val="Normal"/>
        <w:numPr>
          <w:ilvl w:val="0"/>
          <w:numId w:val="8"/>
        </w:numPr>
        <w:ind w:left="720" w:hanging="360"/>
        <w:rPr/>
      </w:pPr>
      <w:r>
        <w:rPr/>
        <w:t>as400-proxy 1.0.</w:t>
      </w:r>
      <w:r>
        <w:rPr/>
        <w:t>5</w:t>
      </w:r>
      <w:r>
        <w:rPr/>
        <w:t xml:space="preserve">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pPr>
      <w:r>
        <w:rPr>
          <w:color w:val="24292F"/>
        </w:rPr>
        <w:t xml:space="preserve">Le modifiche contenute rispetto alla precedente release sono le seguenti: </w:t>
      </w:r>
    </w:p>
    <w:p>
      <w:pPr>
        <w:pStyle w:val="Heading2"/>
        <w:rPr/>
      </w:pPr>
      <w:r>
        <w:rPr/>
      </w:r>
    </w:p>
    <w:p>
      <w:pPr>
        <w:pStyle w:val="Heading2"/>
        <w:rPr/>
      </w:pPr>
      <w:r>
        <w:rPr/>
        <w:t>Improvements</w:t>
      </w:r>
    </w:p>
    <w:p>
      <w:pPr>
        <w:pStyle w:val="Normal"/>
        <w:rPr/>
      </w:pPr>
      <w:r>
        <w:rPr/>
      </w:r>
    </w:p>
    <w:p>
      <w:pPr>
        <w:pStyle w:val="Heading2"/>
        <w:rPr/>
      </w:pPr>
      <w:r>
        <w:rPr/>
      </w:r>
    </w:p>
    <w:p>
      <w:pPr>
        <w:pStyle w:val="Heading2"/>
        <w:rPr>
          <w:highlight w:val="yellow"/>
        </w:rPr>
      </w:pPr>
      <w:r>
        <w:rPr/>
        <w:t>Update</w:t>
      </w:r>
    </w:p>
    <w:p>
      <w:pPr>
        <w:pStyle w:val="Normal"/>
        <w:numPr>
          <w:ilvl w:val="0"/>
          <w:numId w:val="1"/>
        </w:numPr>
        <w:ind w:left="360" w:hanging="360"/>
        <w:rPr/>
      </w:pPr>
      <w:r>
        <w:rPr/>
        <w:t xml:space="preserve">Aggiornato </w:t>
      </w:r>
      <w:r>
        <w:rPr/>
        <w:t>Web.UP</w:t>
      </w:r>
      <w:r>
        <w:rPr/>
        <w:t xml:space="preserve"> alla versione 1.</w:t>
      </w:r>
      <w:r>
        <w:rPr/>
        <w:t>19.6</w:t>
      </w:r>
    </w:p>
    <w:p>
      <w:pPr>
        <w:pStyle w:val="Normal"/>
        <w:ind w:left="360" w:hanging="360"/>
        <w:rPr/>
      </w:pPr>
      <w:r>
        <w:rPr/>
      </w:r>
    </w:p>
    <w:p>
      <w:pPr>
        <w:pStyle w:val="Normal"/>
        <w:ind w:left="360" w:hanging="360"/>
        <w:rPr/>
      </w:pPr>
      <w:r>
        <w:rPr/>
      </w:r>
    </w:p>
    <w:p>
      <w:pPr>
        <w:pStyle w:val="Heading2"/>
        <w:rPr/>
      </w:pPr>
      <w:r>
        <w:rPr/>
        <w:t>Fix</w:t>
      </w:r>
    </w:p>
    <w:p>
      <w:pPr>
        <w:pStyle w:val="Normal"/>
        <w:rPr/>
      </w:pPr>
      <w:r>
        <w:rPr/>
      </w:r>
    </w:p>
    <w:p>
      <w:pPr>
        <w:pStyle w:val="Normal"/>
        <w:rPr/>
      </w:pPr>
      <w:r>
        <w:rPr/>
      </w:r>
    </w:p>
    <w:p>
      <w:pPr>
        <w:pStyle w:val="Normal"/>
        <w:rPr/>
      </w:pPr>
      <w:r>
        <w:rPr/>
      </w:r>
      <w:r>
        <w:br w:type="page"/>
      </w:r>
    </w:p>
    <w:p>
      <w:pPr>
        <w:pStyle w:val="Heading1"/>
        <w:rPr/>
      </w:pPr>
      <w:r>
        <w:rPr/>
        <w:t>Tipologia supporto</w:t>
      </w:r>
    </w:p>
    <w:p>
      <w:pPr>
        <w:pStyle w:val="Normal"/>
        <w:rPr/>
      </w:pPr>
      <w:r>
        <w:rPr/>
        <w:t>La seguente versione verrà supportata fino all’uscita della successiva release.</w:t>
      </w:r>
    </w:p>
    <w:p>
      <w:pPr>
        <w:pStyle w:val="Normal"/>
        <w:rPr/>
      </w:pPr>
      <w:r>
        <w:rPr/>
        <w:t>Per aggiornare il prodotto rifarsi alla capitolo “</w:t>
      </w:r>
      <w:r>
        <w:rPr>
          <w:i/>
          <w:iCs/>
        </w:rPr>
        <w:t>Aggiornamento</w:t>
      </w:r>
      <w:r>
        <w:rPr/>
        <w:t>”.</w:t>
      </w:r>
    </w:p>
    <w:p>
      <w:pPr>
        <w:pStyle w:val="Normal"/>
        <w:rPr>
          <w:highlight w:val="yellow"/>
        </w:rPr>
      </w:pPr>
      <w:r>
        <w:rPr>
          <w:highlight w:val="yellow"/>
        </w:rPr>
      </w:r>
    </w:p>
    <w:p>
      <w:pPr>
        <w:pStyle w:val="Normal"/>
        <w:rPr>
          <w:highlight w:val="yellow"/>
        </w:rPr>
      </w:pPr>
      <w:r>
        <w:rPr>
          <w:highlight w:val="yellow"/>
        </w:rPr>
      </w:r>
    </w:p>
    <w:p>
      <w:pPr>
        <w:pStyle w:val="Heading1"/>
        <w:rPr/>
      </w:pPr>
      <w:r>
        <w:rPr/>
        <w:t>Requisiti minimi</w:t>
      </w:r>
    </w:p>
    <w:p>
      <w:pPr>
        <w:pStyle w:val="Heading2"/>
        <w:rPr/>
      </w:pPr>
      <w:r>
        <w:rPr/>
        <w:t>Sistemi Operativi</w:t>
      </w:r>
    </w:p>
    <w:p>
      <w:pPr>
        <w:pStyle w:val="Normal"/>
        <w:rPr/>
      </w:pPr>
      <w:r>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pPr>
      <w:r>
        <w:rPr>
          <w:b/>
          <w:bCs/>
        </w:rPr>
        <w:t>*</w:t>
      </w:r>
      <w:r>
        <w:rPr/>
        <w:t xml:space="preserve"> Quota indicativa che si riferisce ad una singola installazione wup-net. Il valore assumerà dimensioni e caratteristiche differenti in base al carico di lavoro e alle wup-net installate.</w:t>
      </w:r>
    </w:p>
    <w:p>
      <w:pPr>
        <w:pStyle w:val="TextBody"/>
        <w:rPr/>
      </w:pPr>
      <w:r>
        <w:rPr/>
      </w:r>
      <w:r>
        <w:br w:type="page"/>
      </w:r>
    </w:p>
    <w:p>
      <w:pPr>
        <w:pStyle w:val="Heading1"/>
        <w:rPr/>
      </w:pPr>
      <w:r>
        <w:rPr/>
        <w:t>Installazione</w:t>
      </w:r>
    </w:p>
    <w:p>
      <w:pPr>
        <w:pStyle w:val="Normal"/>
        <w:rPr/>
      </w:pPr>
      <w:r>
        <w:rPr/>
        <w:t>Attraverso lo smartkit-commons (prerequisito) sarà possibile installare lo smartkit-web tramite le seguenti istruzioni:</w:t>
      </w:r>
    </w:p>
    <w:p>
      <w:pPr>
        <w:pStyle w:val="Normal"/>
        <w:rPr/>
      </w:pPr>
      <w:r>
        <w:rPr/>
      </w:r>
    </w:p>
    <w:p>
      <w:pPr>
        <w:pStyle w:val="Code"/>
        <w:rPr/>
      </w:pPr>
      <w:r>
        <w:rPr/>
        <w:t xml:space="preserve">  </w:t>
      </w:r>
      <w:r>
        <w:rPr/>
        <w:t xml:space="preserve">$ &gt;  </w:t>
      </w:r>
      <w:r>
        <w:rPr>
          <w:b/>
          <w:bCs/>
        </w:rPr>
        <w:t>cd /home/smeup/smartkit/smartkit-commons</w:t>
      </w:r>
    </w:p>
    <w:p>
      <w:pPr>
        <w:pStyle w:val="Code"/>
        <w:rPr/>
      </w:pPr>
      <w:r>
        <w:rPr/>
        <w:t xml:space="preserve">  </w:t>
      </w:r>
      <w:r>
        <w:rPr/>
        <w:t xml:space="preserve">$ &gt;  </w:t>
      </w:r>
      <w:r>
        <w:rPr>
          <w:b/>
          <w:bCs/>
        </w:rPr>
        <w:t>./smart.sh smartkit-install smartkit-web</w:t>
      </w:r>
    </w:p>
    <w:p>
      <w:pPr>
        <w:pStyle w:val="Normal"/>
        <w:rPr>
          <w:color w:val="000000"/>
        </w:rPr>
      </w:pPr>
      <w:r>
        <w:rPr>
          <w:color w:val="000000"/>
        </w:rPr>
      </w:r>
    </w:p>
    <w:p>
      <w:pPr>
        <w:pStyle w:val="Normal"/>
        <w:rPr/>
      </w:pPr>
      <w:r>
        <w:rPr/>
        <w:t>Verrà scaricata l’ultima versione disponibile dello smartkit-webup e creata una cartella denominata “smartkit-web” nella cartella generale “smartkit”. Più precisamente si avrà questa cartella:</w:t>
      </w:r>
    </w:p>
    <w:p>
      <w:pPr>
        <w:pStyle w:val="Normal"/>
        <w:rPr>
          <w:color w:val="000000"/>
        </w:rPr>
      </w:pPr>
      <w:r>
        <w:rPr>
          <w:color w:val="000000"/>
        </w:rPr>
      </w:r>
    </w:p>
    <w:p>
      <w:pPr>
        <w:pStyle w:val="Code"/>
        <w:rPr/>
      </w:pPr>
      <w:r>
        <w:rPr/>
        <w:t xml:space="preserve">  </w:t>
      </w:r>
      <w:r>
        <w:rPr/>
        <w:t xml:space="preserve">$ &gt;  </w:t>
      </w:r>
      <w:r>
        <w:rPr>
          <w:b/>
          <w:bCs/>
        </w:rPr>
        <w:t>cd /home/smeup/smartkit/smartkit-web</w:t>
      </w:r>
    </w:p>
    <w:p>
      <w:pPr>
        <w:pStyle w:val="Normal"/>
        <w:rPr>
          <w:color w:val="000000"/>
        </w:rPr>
      </w:pPr>
      <w:r>
        <w:rPr>
          <w:color w:val="000000"/>
        </w:rPr>
      </w:r>
    </w:p>
    <w:p>
      <w:pPr>
        <w:pStyle w:val="Normal"/>
        <w:rPr>
          <w:color w:val="000000"/>
        </w:rPr>
      </w:pPr>
      <w:r>
        <w:rPr/>
        <w:t>Lo spazio di lavoro sarà:</w:t>
      </w:r>
    </w:p>
    <w:p>
      <w:pPr>
        <w:pStyle w:val="Normal"/>
        <w:rPr/>
      </w:pPr>
      <w:r>
        <w:rPr/>
      </w:r>
    </w:p>
    <w:p>
      <w:pPr>
        <w:pStyle w:val="Code"/>
        <w:rPr/>
      </w:pPr>
      <w:r>
        <w:rPr/>
      </w:r>
    </w:p>
    <w:p>
      <w:pPr>
        <w:pStyle w:val="Code"/>
        <w:rPr/>
      </w:pPr>
      <w:r>
        <w:rPr/>
        <w:t xml:space="preserve">  </w:t>
      </w:r>
      <w:r>
        <w:rPr/>
        <w:t>/home/smeup/</w:t>
      </w:r>
    </w:p>
    <w:p>
      <w:pPr>
        <w:pStyle w:val="Code"/>
        <w:rPr/>
      </w:pPr>
      <w:r>
        <w:rPr/>
        <w:t xml:space="preserve">         </w:t>
      </w:r>
      <w:r>
        <w:rPr/>
        <w:t>|__ smartkit</w:t>
      </w:r>
    </w:p>
    <w:p>
      <w:pPr>
        <w:pStyle w:val="Code"/>
        <w:rPr/>
      </w:pPr>
      <w:r>
        <w:rPr/>
        <w:t xml:space="preserve">             </w:t>
      </w:r>
      <w:r>
        <w:rPr/>
        <w:t>|- backup</w:t>
      </w:r>
    </w:p>
    <w:p>
      <w:pPr>
        <w:pStyle w:val="Code"/>
        <w:rPr/>
      </w:pPr>
      <w:r>
        <w:rPr/>
        <w:t xml:space="preserve">             </w:t>
      </w:r>
      <w:r>
        <w:rPr/>
        <w:t>|- logs</w:t>
        <w:br/>
        <w:t xml:space="preserve">             |- repository</w:t>
      </w:r>
    </w:p>
    <w:p>
      <w:pPr>
        <w:pStyle w:val="Code"/>
        <w:rPr/>
      </w:pPr>
      <w:r>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rPr>
      </w:pPr>
      <w:r>
        <w:rPr>
          <w:b/>
          <w:bCs/>
        </w:rPr>
        <w:t xml:space="preserve">                    </w:t>
      </w:r>
      <w:r>
        <w:rPr>
          <w:b/>
          <w:bCs/>
        </w:rPr>
        <w:t>|_ version.info</w:t>
      </w:r>
      <w:r>
        <w:br w:type="page"/>
      </w:r>
    </w:p>
    <w:p>
      <w:pPr>
        <w:pStyle w:val="Heading1"/>
        <w:rPr/>
      </w:pPr>
      <w:r>
        <w:rPr/>
        <w:t>Utilizzo</w:t>
      </w:r>
    </w:p>
    <w:p>
      <w:pPr>
        <w:pStyle w:val="Normal"/>
        <w:rPr>
          <w:color w:val="000000"/>
        </w:rPr>
      </w:pPr>
      <w:r>
        <w:rPr>
          <w:color w:val="000000"/>
        </w:rPr>
        <w:t>Per accedere alle funzionalità che lo smartkit-web può elargire recarsi nella sottocartella “</w:t>
      </w:r>
      <w:r>
        <w:rPr>
          <w:b/>
          <w:color w:val="000000"/>
        </w:rPr>
        <w:t>scripts”</w:t>
      </w:r>
      <w:r>
        <w:rPr>
          <w:color w:val="000000"/>
        </w:rPr>
        <w:t>:</w:t>
      </w:r>
    </w:p>
    <w:p>
      <w:pPr>
        <w:pStyle w:val="Normal"/>
        <w:rPr>
          <w:color w:val="000000"/>
        </w:rPr>
      </w:pPr>
      <w:r>
        <w:rPr>
          <w:color w:val="000000"/>
        </w:rPr>
      </w:r>
    </w:p>
    <w:p>
      <w:pPr>
        <w:pStyle w:val="Code"/>
        <w:rPr/>
      </w:pPr>
      <w:r>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pPr>
      <w:r>
        <w:rPr/>
        <w:t>E successivamente lanciare il comando:</w:t>
      </w:r>
    </w:p>
    <w:p>
      <w:pPr>
        <w:pStyle w:val="Normal"/>
        <w:rPr/>
      </w:pPr>
      <w:r>
        <w:rPr/>
      </w:r>
    </w:p>
    <w:p>
      <w:pPr>
        <w:pStyle w:val="Code"/>
        <w:rPr/>
      </w:pPr>
      <w:r>
        <w:rPr>
          <w:color w:val="000000"/>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pPr>
      <w:r>
        <w:rPr/>
        <w:t>Verrà visualizzata la lista completa dei comandi eseguibili:</w:t>
      </w:r>
    </w:p>
    <w:p>
      <w:pPr>
        <w:pStyle w:val="Normal"/>
        <w:rPr>
          <w:rFonts w:ascii="Arial" w:hAnsi="Arial"/>
          <w:color w:val="000000"/>
        </w:rPr>
      </w:pPr>
      <w:r>
        <w:rPr>
          <w:rFonts w:ascii="Arial" w:hAnsi="Arial"/>
          <w:color w:val="000000"/>
        </w:rPr>
      </w:r>
    </w:p>
    <w:p>
      <w:pPr>
        <w:pStyle w:val="Code"/>
        <w:shd w:val="clear" w:color="auto" w:fill="E9E9E9"/>
        <w:spacing w:lineRule="auto" w:line="276"/>
        <w:rPr/>
      </w:pPr>
      <w:r>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detail</w:t>
      </w:r>
      <w:r>
        <w:rPr>
          <w:color w:val="000000"/>
        </w:rPr>
        <w:t>: avere informazioni dettagliate sulla versione dello smartkit-web correntemente installata sul sistema;</w:t>
      </w:r>
    </w:p>
    <w:p>
      <w:pPr>
        <w:pStyle w:val="Normal"/>
        <w:rPr/>
      </w:pPr>
      <w:r>
        <w:rPr/>
      </w:r>
    </w:p>
    <w:p>
      <w:pPr>
        <w:pStyle w:val="Normal"/>
        <w:numPr>
          <w:ilvl w:val="0"/>
          <w:numId w:val="2"/>
        </w:numPr>
        <w:ind w:left="707" w:hanging="283"/>
        <w:rPr>
          <w:rFonts w:ascii="Arial" w:hAnsi="Arial"/>
          <w:color w:val="000000"/>
        </w:rPr>
      </w:pPr>
      <w:r>
        <w:rPr>
          <w:b/>
          <w:color w:val="000000"/>
        </w:rPr>
        <w:t>releases</w:t>
      </w:r>
      <w:r>
        <w:rPr>
          <w:color w:val="000000"/>
        </w:rPr>
        <w:t xml:space="preserve">: avere la lista di tutte le versioni scaricabili dello smartkit-web/wup-net nel repository </w:t>
      </w:r>
      <w:r>
        <w:rPr>
          <w:i/>
          <w:iCs/>
          <w:color w:val="000000"/>
        </w:rPr>
        <w:t>release</w:t>
      </w:r>
      <w:r>
        <w:rPr>
          <w:color w:val="000000"/>
        </w:rPr>
        <w: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wupnet-list</w:t>
      </w:r>
      <w:r>
        <w:rPr>
          <w:color w:val="000000"/>
        </w:rPr>
        <w:t>: avere la lista delle wup-net installate sul sistema;</w:t>
      </w:r>
    </w:p>
    <w:p>
      <w:pPr>
        <w:pStyle w:val="Normal"/>
        <w:numPr>
          <w:ilvl w:val="0"/>
          <w:numId w:val="2"/>
        </w:numPr>
        <w:ind w:left="707" w:hanging="283"/>
        <w:rPr/>
      </w:pPr>
      <w:r>
        <w:rPr>
          <w:b/>
          <w:color w:val="000000"/>
        </w:rPr>
        <w:t>wupnet-create-config &lt;ID&gt; [VERSION]</w:t>
      </w:r>
      <w:r>
        <w:rPr>
          <w:color w:val="000000"/>
        </w:rPr>
        <w:t xml:space="preserve">: creare la configurazione base di una wup-net con id &lt;ID&gt; </w:t>
      </w:r>
      <w:r>
        <w:rPr>
          <w:color w:val="000000"/>
          <w:u w:val="single" w:color="FFFFFF"/>
        </w:rPr>
        <w:t>(ID è un nome scelto dall’utente</w:t>
      </w:r>
      <w:r>
        <w:rPr>
          <w:color w:val="000000"/>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rPr>
      </w:pPr>
      <w:r>
        <w:rPr>
          <w:color w:val="000000"/>
        </w:rPr>
      </w:r>
    </w:p>
    <w:p>
      <w:pPr>
        <w:pStyle w:val="Normal"/>
        <w:numPr>
          <w:ilvl w:val="0"/>
          <w:numId w:val="2"/>
        </w:numPr>
        <w:ind w:left="707" w:hanging="283"/>
        <w:rPr/>
      </w:pPr>
      <w:r>
        <w:rPr>
          <w:b/>
          <w:color w:val="000000"/>
        </w:rPr>
        <w:t>wupnet-update-config &lt;ID&gt; [VERSION]</w:t>
      </w:r>
      <w:r>
        <w:rPr>
          <w:color w:val="000000"/>
        </w:rPr>
        <w:t xml:space="preserve">: aggiorna la configurazione della wup-net con &lt;ID&gt; alla versione [VERSION]. Nel caso non venga inserita la versione, viene usata l’ultima release disponibile. Questo comando </w:t>
      </w:r>
      <w:r>
        <w:rPr>
          <w:i/>
          <w:color w:val="000000"/>
        </w:rPr>
        <w:t xml:space="preserve">prevede il backup e la distruzione della </w:t>
      </w:r>
      <w:r>
        <w:rPr>
          <w:i/>
          <w:iCs/>
          <w:color w:val="000000"/>
        </w:rPr>
        <w:t>wup-net (lascia comunque invariati le variabili di ambiente e i file dei containers)</w:t>
      </w:r>
      <w:r>
        <w:rPr>
          <w:i/>
          <w:iCs/>
        </w:rPr>
        <w:t xml:space="preserve">. </w:t>
      </w:r>
      <w:r>
        <w:rPr>
          <w:i/>
          <w:iCs/>
          <w:u w:val="single" w:color="FFFFFF"/>
        </w:rPr>
        <w:t>Per far si che avvenga l’adozione delle modifiche, dopo questo comando è obbligatorio lanciare la wupnet-apply-config.</w:t>
      </w:r>
    </w:p>
    <w:p>
      <w:pPr>
        <w:pStyle w:val="Normal"/>
        <w:rPr>
          <w:i/>
          <w:i/>
          <w:iCs/>
        </w:rPr>
      </w:pPr>
      <w:r>
        <w:rPr>
          <w:i/>
          <w:iCs/>
        </w:rPr>
      </w:r>
    </w:p>
    <w:p>
      <w:pPr>
        <w:pStyle w:val="Normal"/>
        <w:numPr>
          <w:ilvl w:val="0"/>
          <w:numId w:val="3"/>
        </w:numPr>
        <w:ind w:left="707" w:hanging="283"/>
        <w:rPr/>
      </w:pPr>
      <w:r>
        <w:rPr>
          <w:b/>
          <w:color w:val="000000"/>
        </w:rPr>
        <w:t>wupnet-apply-config [ID] [VERSION]</w:t>
      </w:r>
      <w:r>
        <w:rPr>
          <w:color w:val="000000"/>
        </w:rPr>
        <w:t xml:space="preserve">: applica le configurazioni definite precedentemente, creando e avviando i containers della wup-net con [ID]. </w:t>
      </w:r>
    </w:p>
    <w:p>
      <w:pPr>
        <w:pStyle w:val="Normal"/>
        <w:rPr/>
      </w:pPr>
      <w:r>
        <w:rPr/>
      </w:r>
    </w:p>
    <w:p>
      <w:pPr>
        <w:pStyle w:val="Normal"/>
        <w:numPr>
          <w:ilvl w:val="0"/>
          <w:numId w:val="3"/>
        </w:numPr>
        <w:ind w:left="707" w:hanging="283"/>
        <w:rPr/>
      </w:pPr>
      <w:r>
        <w:rPr>
          <w:b/>
          <w:color w:val="000000"/>
        </w:rPr>
        <w:t>wupnet-detail &lt;ID&gt;</w:t>
      </w:r>
      <w:r>
        <w:rPr>
          <w:color w:val="000000"/>
        </w:rPr>
        <w:t>: visualizza i dettagli della wupnet identificata con l’id &lt;ID&gt; passato come argomento</w:t>
      </w:r>
    </w:p>
    <w:p>
      <w:pPr>
        <w:pStyle w:val="Normal"/>
        <w:rPr/>
      </w:pPr>
      <w:r>
        <w:rPr/>
      </w:r>
    </w:p>
    <w:p>
      <w:pPr>
        <w:pStyle w:val="Normal"/>
        <w:numPr>
          <w:ilvl w:val="0"/>
          <w:numId w:val="3"/>
        </w:numPr>
        <w:ind w:left="707" w:hanging="283"/>
        <w:rPr/>
      </w:pPr>
      <w:r>
        <w:rPr>
          <w:b/>
          <w:color w:val="000000"/>
        </w:rPr>
        <w:t>wupnet-stop &lt;ID&gt;</w:t>
      </w:r>
      <w:r>
        <w:rPr>
          <w:color w:val="000000"/>
        </w:rPr>
        <w:t>: esegue il comando di stop che stoppa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wupnet-start &lt;ID&gt;</w:t>
      </w:r>
      <w:r>
        <w:rPr>
          <w:color w:val="000000"/>
        </w:rPr>
        <w:t>: esegue il comando di start che starta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wupnet-backup &lt;ID&gt;</w:t>
      </w:r>
      <w:r>
        <w:rPr>
          <w:color w:val="000000"/>
        </w:rPr>
        <w:t>: esegue un backup della wupnet identificata con l’id &lt;ID&gt; passato come argomento e ne fa la copia in</w:t>
      </w:r>
    </w:p>
    <w:p>
      <w:pPr>
        <w:pStyle w:val="Normal"/>
        <w:rPr>
          <w:color w:val="000000"/>
        </w:rPr>
      </w:pPr>
      <w:r>
        <w:rPr>
          <w:color w:val="000000"/>
        </w:rPr>
      </w:r>
    </w:p>
    <w:p>
      <w:pPr>
        <w:pStyle w:val="Code"/>
        <w:rPr/>
      </w:pPr>
      <w:r>
        <w:rPr/>
        <w:t xml:space="preserve">  </w:t>
      </w:r>
      <w:r>
        <w:rPr/>
        <w:t xml:space="preserve">$ &gt;  </w:t>
      </w:r>
      <w:r>
        <w:rPr>
          <w:b/>
          <w:bCs/>
        </w:rPr>
        <w:t>cd /home/smeup/smartkit/backups</w:t>
      </w:r>
    </w:p>
    <w:p>
      <w:pPr>
        <w:pStyle w:val="Normal"/>
        <w:ind w:firstLine="720"/>
        <w:rPr/>
      </w:pPr>
      <w:r>
        <w:rPr/>
      </w:r>
    </w:p>
    <w:p>
      <w:pPr>
        <w:pStyle w:val="Normal"/>
        <w:ind w:left="720" w:hanging="0"/>
        <w:rPr/>
      </w:pPr>
      <w:r>
        <w:rPr/>
        <w:t xml:space="preserve">Il </w:t>
      </w:r>
      <w:r>
        <w:rPr>
          <w:b/>
          <w:bCs/>
        </w:rPr>
        <w:t>BACKUPID</w:t>
      </w:r>
      <w:r>
        <w:rPr/>
        <w:t xml:space="preserve"> sarà il codice che viene visualizzato sulla cartella backuppata e visualizzato a video.  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pPr>
      <w:r>
        <w:rPr>
          <w:b/>
          <w:color w:val="000000"/>
        </w:rPr>
        <w:t>wupnet-destroy &lt;ID&gt;</w:t>
      </w:r>
      <w:r>
        <w:rPr>
          <w:color w:val="000000"/>
        </w:rPr>
        <w:t>: lancia il comando di destroy che elimina tutti i container della wupnet identificata con l’id &lt;ID&gt; passato come argomento (lascia comunque invariati le variabili di ambiente e i file dei containers)</w:t>
      </w:r>
    </w:p>
    <w:p>
      <w:pPr>
        <w:pStyle w:val="Normal"/>
        <w:rPr/>
      </w:pPr>
      <w:r>
        <w:rPr/>
      </w:r>
    </w:p>
    <w:p>
      <w:pPr>
        <w:pStyle w:val="Normal"/>
        <w:numPr>
          <w:ilvl w:val="0"/>
          <w:numId w:val="4"/>
        </w:numPr>
        <w:ind w:left="707" w:hanging="283"/>
        <w:rPr/>
      </w:pPr>
      <w:r>
        <w:rPr>
          <w:b/>
          <w:color w:val="000000"/>
        </w:rPr>
        <w:t>wupnet-remove &lt;ID&gt;</w:t>
      </w:r>
      <w:r>
        <w:rPr>
          <w:color w:val="000000"/>
        </w:rPr>
        <w:t>: lancia il comando di destroy e poi di rimozione di tutto ciò che appartiene alla wupnet identificata con l’id &lt;ID&gt; passato come argomento (quindi anche le variabili di ambiente e i file dei containers)</w:t>
      </w:r>
    </w:p>
    <w:p>
      <w:pPr>
        <w:pStyle w:val="Normal"/>
        <w:rPr/>
      </w:pPr>
      <w:r>
        <w:rPr/>
      </w:r>
    </w:p>
    <w:p>
      <w:pPr>
        <w:pStyle w:val="Normal"/>
        <w:numPr>
          <w:ilvl w:val="0"/>
          <w:numId w:val="4"/>
        </w:numPr>
        <w:ind w:left="707" w:hanging="283"/>
        <w:rPr/>
      </w:pPr>
      <w:r>
        <w:rPr>
          <w:b/>
          <w:color w:val="000000"/>
        </w:rPr>
        <w:t>wupnet-restore &lt;ID&gt; &lt;BACKUPID&gt;</w:t>
      </w:r>
      <w:r>
        <w:rPr>
          <w:color w:val="000000"/>
        </w:rPr>
        <w:t>: restora il backup precedentemente fatto della wupnet identificata con l’id &lt;ID&gt; passato come argomento e il backup id passato come argomento &lt;BACKUPID&gt;.</w:t>
      </w:r>
      <w:r>
        <w:br w:type="page"/>
      </w:r>
    </w:p>
    <w:p>
      <w:pPr>
        <w:pStyle w:val="Normal"/>
        <w:rPr>
          <w:b/>
          <w:b/>
          <w:color w:val="404040"/>
          <w:sz w:val="40"/>
          <w:szCs w:val="40"/>
        </w:rPr>
      </w:pPr>
      <w:r>
        <w:rPr>
          <w:b/>
          <w:color w:val="404040"/>
          <w:sz w:val="40"/>
          <w:szCs w:val="40"/>
        </w:rPr>
        <w:t>Shortcut commands</w:t>
      </w:r>
    </w:p>
    <w:p>
      <w:pPr>
        <w:pStyle w:val="Normal"/>
        <w:rPr/>
      </w:pPr>
      <w:r>
        <w:rPr/>
      </w:r>
    </w:p>
    <w:p>
      <w:pPr>
        <w:pStyle w:val="Normal"/>
        <w:rPr/>
      </w:pPr>
      <w:r>
        <w:rPr/>
        <w:t xml:space="preserve">E’ stata introdotta dalla versione v.1.0.3 la possibilità di utilizzare degli </w:t>
      </w:r>
      <w:r>
        <w:rPr>
          <w:i/>
          <w:iCs/>
        </w:rPr>
        <w:t>shortcut commands</w:t>
      </w:r>
      <w:r>
        <w:rPr/>
        <w:t xml:space="preserve"> per le funzioni più utilizzate, lanciabili da qualsiasi punto della working directory ci si trovi.</w:t>
      </w:r>
    </w:p>
    <w:p>
      <w:pPr>
        <w:pStyle w:val="Normal"/>
        <w:rPr/>
      </w:pPr>
      <w:r>
        <w:rPr/>
        <w:t xml:space="preserve">Ad esempio il comando </w:t>
      </w:r>
    </w:p>
    <w:p>
      <w:pPr>
        <w:pStyle w:val="Normal"/>
        <w:rPr/>
      </w:pPr>
      <w:r>
        <w:rPr/>
      </w:r>
    </w:p>
    <w:p>
      <w:pPr>
        <w:pStyle w:val="Code"/>
        <w:shd w:val="clear" w:fill="E9E9E9"/>
        <w:spacing w:lineRule="auto" w:line="276"/>
        <w:rPr>
          <w:b/>
          <w:b/>
          <w:bCs/>
        </w:rPr>
      </w:pPr>
      <w:r>
        <w:rPr/>
        <w:t xml:space="preserve">  </w:t>
      </w:r>
      <w:r>
        <w:rPr/>
        <w:t xml:space="preserve">$ &gt;  </w:t>
      </w:r>
      <w:r>
        <w:rPr>
          <w:b/>
          <w:bCs/>
        </w:rPr>
        <w:t>wupnet-create-config</w:t>
      </w:r>
      <w:r>
        <w:rPr/>
        <w:t xml:space="preserve"> </w:t>
      </w:r>
      <w:r>
        <w:rPr>
          <w:b/>
          <w:bCs/>
        </w:rPr>
        <w:t>test</w:t>
      </w:r>
    </w:p>
    <w:p>
      <w:pPr>
        <w:pStyle w:val="Normal"/>
        <w:rPr/>
      </w:pPr>
      <w:r>
        <w:rPr/>
      </w:r>
    </w:p>
    <w:p>
      <w:pPr>
        <w:pStyle w:val="Normal"/>
        <w:rPr/>
      </w:pPr>
      <w:r>
        <w:rPr/>
        <w:t>lanciabile da qualsiasi punto ci si trovi, andrà a lanciare l’effettivo comando:</w:t>
      </w:r>
    </w:p>
    <w:p>
      <w:pPr>
        <w:pStyle w:val="Normal"/>
        <w:rPr/>
      </w:pPr>
      <w:r>
        <w:rPr/>
      </w:r>
    </w:p>
    <w:p>
      <w:pPr>
        <w:pStyle w:val="Code"/>
        <w:shd w:val="clear" w:fill="E9E9E9"/>
        <w:spacing w:lineRule="auto" w:line="276"/>
        <w:rPr>
          <w:b/>
          <w:b/>
          <w:bCs/>
        </w:rPr>
      </w:pPr>
      <w:r>
        <w:rPr/>
        <w:t xml:space="preserve">  </w:t>
      </w:r>
      <w:r>
        <w:rPr/>
        <w:t xml:space="preserve">$ &gt;  </w:t>
      </w:r>
      <w:r>
        <w:rPr>
          <w:b/>
          <w:bCs/>
        </w:rPr>
        <w:t>cd /home/$USER/smartkit/smartkit-web/scripts/ &amp;&amp; ./smart.sh wupnet-create-config test</w:t>
      </w:r>
    </w:p>
    <w:p>
      <w:pPr>
        <w:pStyle w:val="Normal"/>
        <w:rPr/>
      </w:pPr>
      <w:r>
        <w:rPr/>
      </w:r>
    </w:p>
    <w:p>
      <w:pPr>
        <w:pStyle w:val="Normal"/>
        <w:rPr/>
      </w:pPr>
      <w:r>
        <w:rPr/>
        <w:t>riducendo così di molto il testo da dover digitare.</w:t>
      </w:r>
    </w:p>
    <w:p>
      <w:pPr>
        <w:pStyle w:val="Normal"/>
        <w:rPr/>
      </w:pPr>
      <w:r>
        <w:rPr/>
        <w:t>La lista degli shortcut è segnata di seguito (per il funzionamento dei comandi si rimanda al capitolo “Utilizzo”:</w:t>
      </w:r>
    </w:p>
    <w:p>
      <w:pPr>
        <w:pStyle w:val="Normal"/>
        <w:rPr/>
      </w:pPr>
      <w:r>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rPr>
      </w:pPr>
      <w:r>
        <w:rPr>
          <w:b/>
          <w:bCs/>
        </w:rPr>
        <w:t>NB: alcuni comandi non hanno il corrispettivo shortcut. Tali comandi saranno lanciabili  come spiegato nella sezione “Utilizzo”.</w:t>
      </w:r>
    </w:p>
    <w:p>
      <w:pPr>
        <w:pStyle w:val="Normal"/>
        <w:rPr>
          <w:b/>
          <w:b/>
          <w:bCs/>
        </w:rPr>
      </w:pPr>
      <w:r>
        <w:rPr>
          <w:b/>
          <w:bCs/>
        </w:rPr>
      </w:r>
    </w:p>
    <w:p>
      <w:pPr>
        <w:pStyle w:val="Normal"/>
        <w:rPr>
          <w:b/>
          <w:b/>
          <w:bCs/>
        </w:rPr>
      </w:pPr>
      <w:r>
        <w:rPr>
          <w:b/>
          <w:bCs/>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pPr>
      <w:r>
        <w:rPr/>
        <w:t xml:space="preserve">Creazione di una wup-net </w:t>
      </w:r>
    </w:p>
    <w:p>
      <w:pPr>
        <w:pStyle w:val="Normal"/>
        <w:rPr/>
      </w:pPr>
      <w:r>
        <w:rPr/>
        <w:t>Per creare una wupnet e quindi un’istanza di webup (in questo caso per esempio per la produzione), basterà quindi lanciare i seguenti comandi:</w:t>
      </w:r>
    </w:p>
    <w:p>
      <w:pPr>
        <w:pStyle w:val="Normal"/>
        <w:rPr>
          <w:rFonts w:ascii="Arial" w:hAnsi="Arial"/>
          <w:color w:val="000000"/>
        </w:rPr>
      </w:pPr>
      <w:r>
        <w:rPr>
          <w:rFonts w:ascii="Arial" w:hAnsi="Arial"/>
          <w:color w:val="000000"/>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rPr>
      </w:pPr>
      <w:r>
        <w:rPr/>
        <w:t xml:space="preserve">Verrà creata una cartella nella directory dello smartkit-web, denominata  </w:t>
      </w:r>
      <w:r>
        <w:rPr>
          <w:b/>
          <w:bCs/>
          <w:i/>
          <w:iCs/>
          <w:color w:val="000000"/>
        </w:rPr>
        <w:t>wn-&lt;ID&gt;</w:t>
      </w:r>
      <w:r>
        <w:rPr>
          <w:color w:val="000000"/>
        </w:rPr>
        <w:t xml:space="preserve">, in questo caso quindi </w:t>
      </w:r>
      <w:r>
        <w:rPr>
          <w:i/>
          <w:iCs/>
          <w:color w:val="000000"/>
        </w:rPr>
        <w:t>wn-prod1</w:t>
      </w:r>
      <w:r>
        <w:rPr>
          <w:color w:val="000000"/>
        </w:rPr>
        <w:t>, con i file necessari al funzionamento della suddetta istanza.</w:t>
      </w:r>
    </w:p>
    <w:p>
      <w:pPr>
        <w:pStyle w:val="Normal"/>
        <w:rPr/>
      </w:pPr>
      <w:r>
        <w:rPr/>
        <w:t>Si avrà quindi un’istanza di wup-net (</w:t>
      </w:r>
      <w:r>
        <w:rPr>
          <w:i/>
          <w:iCs/>
        </w:rPr>
        <w:t>wn-prod1</w:t>
      </w:r>
      <w:r>
        <w:rPr/>
        <w:t>) identificata dal suo ID (</w:t>
      </w:r>
      <w:r>
        <w:rPr>
          <w:i/>
          <w:iCs/>
        </w:rPr>
        <w:t>prod1</w:t>
      </w:r>
      <w:r>
        <w:rPr/>
        <w:t>).</w:t>
      </w:r>
    </w:p>
    <w:p>
      <w:pPr>
        <w:pStyle w:val="Normal"/>
        <w:rPr/>
      </w:pPr>
      <w:r>
        <w:rPr/>
        <w:t>Dopo aver lanciato il comando di creazione delle configurazione, sarà necessario andare a modificare il file di configurazione come espressamente richiesto a video durante la procedura di installazione:</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pPr>
      <w:r>
        <w:rPr/>
      </w:r>
    </w:p>
    <w:p>
      <w:pPr>
        <w:pStyle w:val="Normal"/>
        <w:rPr>
          <w:color w:val="000000"/>
        </w:rPr>
      </w:pPr>
      <w:r>
        <w:rPr>
          <w:color w:val="000000"/>
        </w:rPr>
        <w:t xml:space="preserve">In questo si trovano tutte le variabili configurabili e che richiederanno attenzione. </w:t>
      </w:r>
    </w:p>
    <w:p>
      <w:pPr>
        <w:pStyle w:val="Normal"/>
        <w:rPr>
          <w:color w:val="000000"/>
        </w:rPr>
      </w:pPr>
      <w:r>
        <w:rPr>
          <w:color w:val="000000"/>
        </w:rPr>
        <w:t xml:space="preserve">Per poterle modificare ed abilitare, basta togliere il carattere “#” ad inizio riga e impostare il valore desiderato tra le virgolette. Ricordarsi che alcuni parametri sono </w:t>
      </w:r>
      <w:r>
        <w:rPr>
          <w:color w:val="000000"/>
          <w:u w:val="single" w:color="FFFFFF"/>
        </w:rPr>
        <w:t>OBBLIGATORI</w:t>
      </w:r>
      <w:r>
        <w:rPr>
          <w:color w:val="000000"/>
        </w:rPr>
        <w:t xml:space="preserve"> (identificati dalla parte definita come </w:t>
      </w:r>
      <w:r>
        <w:rPr>
          <w:i/>
          <w:iCs/>
          <w:color w:val="000000"/>
        </w:rPr>
        <w:t>Mandatory</w:t>
      </w:r>
      <w:r>
        <w:rPr>
          <w:color w:val="000000"/>
        </w:rPr>
        <w:t>):</w:t>
      </w:r>
    </w:p>
    <w:p>
      <w:pPr>
        <w:pStyle w:val="Normal"/>
        <w:rPr>
          <w:color w:val="000000"/>
        </w:rPr>
      </w:pPr>
      <w:r>
        <w:rPr>
          <w:color w:val="000000"/>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rPr>
      </w:pPr>
      <w:r>
        <w:rPr>
          <w:color w:val="000000"/>
        </w:rPr>
        <w:t>Per impostare ad esempio la variabile l’indirizzo del server AS a cui collegare la wupnet che si vuole creare :</w:t>
      </w:r>
    </w:p>
    <w:p>
      <w:pPr>
        <w:pStyle w:val="Normal"/>
        <w:rPr/>
      </w:pPr>
      <w:r>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rPr>
      </w:pPr>
      <w:r>
        <w:rPr>
          <w:i/>
          <w:iCs/>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rPr>
      </w:pPr>
      <w:r>
        <w:rPr>
          <w:rFonts w:ascii="Arial" w:hAnsi="Arial"/>
          <w:i/>
          <w:color w:val="000000"/>
          <w:sz w:val="24"/>
        </w:rPr>
      </w:r>
    </w:p>
    <w:p>
      <w:pPr>
        <w:pStyle w:val="Normal"/>
        <w:rPr/>
      </w:pPr>
      <w:r>
        <w:rPr/>
        <w:t>Una volta compilato il file di configurazione è necessario ritornare alla cartella ove è inserito lo smart.sh ed applicare le configurazioni in maniera tale da generare l’architettura voluta.</w:t>
      </w:r>
    </w:p>
    <w:p>
      <w:pPr>
        <w:pStyle w:val="Normal"/>
        <w:rPr/>
      </w:pPr>
      <w:r>
        <w:rPr/>
      </w:r>
    </w:p>
    <w:p>
      <w:pPr>
        <w:pStyle w:val="Code"/>
        <w:rPr/>
      </w:pPr>
      <w:r>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pPr>
      <w:r>
        <w:rPr/>
        <w:t>NOTA: Nel caso volessimo installare un’ulteriore wup-net, ad esempio una istanza di test, potremo lanciare gli stessi comandi, cambiando solamente l’ID della wupnet:</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pPr>
      <w:r>
        <w:rPr/>
        <w:t>Probes</w:t>
      </w:r>
    </w:p>
    <w:p>
      <w:pPr>
        <w:pStyle w:val="Normal"/>
        <w:rPr/>
      </w:pPr>
      <w:r>
        <w:rPr/>
        <w:t>Una volta che l’installazione sarà andata a buon fine, sarà possibile effettuare delle chiamate di controllo per verificare il reale funzionamento dei container e delle applicazioni.</w:t>
        <w:br/>
        <w:t>Basterà lanciare il comando: </w:t>
      </w:r>
    </w:p>
    <w:p>
      <w:pPr>
        <w:pStyle w:val="Normal"/>
        <w:rPr/>
      </w:pPr>
      <w:r>
        <w:rPr/>
      </w:r>
    </w:p>
    <w:p>
      <w:pPr>
        <w:pStyle w:val="Code"/>
        <w:rPr/>
      </w:pPr>
      <w:r>
        <w:rPr/>
        <w:t xml:space="preserve">  </w:t>
      </w:r>
      <w:r>
        <w:rPr/>
        <w:t xml:space="preserve">$ &gt;  </w:t>
      </w:r>
      <w:r>
        <w:rPr>
          <w:b/>
          <w:bCs/>
        </w:rPr>
        <w:t>./smart.sh wupnet-detail &lt;ID&gt;</w:t>
      </w:r>
    </w:p>
    <w:p>
      <w:pPr>
        <w:pStyle w:val="Code"/>
        <w:rPr/>
      </w:pPr>
      <w:r>
        <w:rPr/>
        <w:t>ad esempio</w:t>
      </w:r>
    </w:p>
    <w:p>
      <w:pPr>
        <w:pStyle w:val="Code"/>
        <w:rPr/>
      </w:pPr>
      <w:r>
        <w:rPr/>
        <w:t xml:space="preserve">  </w:t>
      </w:r>
      <w:r>
        <w:rPr/>
        <w:t xml:space="preserve">$ &gt;  </w:t>
      </w:r>
      <w:r>
        <w:rPr>
          <w:b/>
          <w:bCs/>
        </w:rPr>
        <w:t>./smart.sh wupnet-detail prod1</w:t>
      </w:r>
    </w:p>
    <w:p>
      <w:pPr>
        <w:pStyle w:val="Normal"/>
        <w:rPr/>
      </w:pPr>
      <w:r>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rPr>
      </w:pPr>
      <w:r>
        <w:rPr>
          <w:rFonts w:ascii="Arial" w:hAnsi="Arial"/>
          <w:color w:val="000000"/>
          <w:sz w:val="24"/>
        </w:rPr>
      </w:r>
    </w:p>
    <w:p>
      <w:pPr>
        <w:pStyle w:val="Normal"/>
        <w:rPr>
          <w:i/>
          <w:i/>
          <w:iCs/>
        </w:rPr>
      </w:pPr>
      <w:r>
        <w:rPr>
          <w:i/>
          <w:iCs/>
        </w:rPr>
        <w:t>NB: il container di webup impiega sempre più tempo rispetto agli altri a crearsi durante la fase di installazione e di conseguenza a rispondere alle probes..</w:t>
      </w:r>
    </w:p>
    <w:p>
      <w:pPr>
        <w:pStyle w:val="Normal"/>
        <w:rPr>
          <w:rFonts w:ascii="Arial" w:hAnsi="Arial"/>
          <w:i/>
          <w:i/>
          <w:color w:val="000000"/>
          <w:sz w:val="24"/>
        </w:rPr>
      </w:pPr>
      <w:r>
        <w:rPr>
          <w:rFonts w:ascii="Arial" w:hAnsi="Arial"/>
          <w:i/>
          <w:color w:val="000000"/>
          <w:sz w:val="24"/>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pPr>
      <w:r>
        <w:rPr/>
        <w:t>Fun di test</w:t>
      </w:r>
    </w:p>
    <w:p>
      <w:pPr>
        <w:pStyle w:val="Normal"/>
        <w:rPr/>
      </w:pPr>
      <w:r>
        <w:rPr/>
        <w:t>Per eventuali ulteriori controlli si possono effettuare delle chiamate (fun) di test.</w:t>
      </w:r>
    </w:p>
    <w:p>
      <w:pPr>
        <w:pStyle w:val="Normal"/>
        <w:rPr/>
      </w:pPr>
      <w:r>
        <w:rPr/>
        <w:t>In questo caso è necessario configurare un modulo di login verso “</w:t>
      </w:r>
      <w:r>
        <w:rPr>
          <w:i/>
          <w:iCs/>
        </w:rPr>
        <w:t>srvlab01.smeup.com</w:t>
      </w:r>
      <w:r>
        <w:rPr/>
        <w:t>” all’ambiente SVI.</w:t>
      </w:r>
    </w:p>
    <w:p>
      <w:pPr>
        <w:pStyle w:val="Normal"/>
        <w:rPr/>
      </w:pPr>
      <w:r>
        <w:rPr/>
      </w:r>
    </w:p>
    <w:p>
      <w:pPr>
        <w:pStyle w:val="Normal"/>
        <w:rPr/>
      </w:pPr>
      <w:r>
        <w:rPr>
          <w:i/>
          <w:color w:val="000000"/>
        </w:rPr>
        <w:t xml:space="preserve">NB1: </w:t>
      </w:r>
      <w:r>
        <w:rPr>
          <w:i/>
          <w:color w:val="000000"/>
          <w:u w:val="single" w:color="FFFFFF"/>
        </w:rPr>
        <w:t>si ricorda che nello smartkit la configurazione della voce “</w:t>
      </w:r>
      <w:r>
        <w:rPr>
          <w:i/>
          <w:color w:val="000000"/>
          <w:highlight w:val="white"/>
          <w:u w:val="single" w:color="FFFFFF"/>
        </w:rPr>
        <w:t>Smeup Provider</w:t>
      </w:r>
      <w:r>
        <w:rPr>
          <w:color w:val="000000"/>
          <w:u w:val="single" w:color="FFFFFF"/>
        </w:rPr>
        <w:t xml:space="preserve">” </w:t>
      </w:r>
      <w:r>
        <w:rPr>
          <w:i/>
          <w:color w:val="000000"/>
          <w:u w:val="single" w:color="FFFFFF"/>
        </w:rPr>
        <w:t>NON deve essere fatta per consentire l’utilizzo dei componenti interni per la connessione verso l’as400 (as400-proxy). </w:t>
      </w:r>
      <w:r>
        <w:rPr>
          <w:i/>
          <w:color w:val="000000"/>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pPr>
      <w:r>
        <w:rPr/>
      </w:r>
    </w:p>
    <w:p>
      <w:pPr>
        <w:pStyle w:val="Heading3"/>
        <w:rPr/>
      </w:pPr>
      <w:r>
        <w:rPr>
          <w:color w:val="000000"/>
          <w:u w:val="single" w:color="FFFFFF"/>
        </w:rPr>
        <w:t>AS400-PROXY e JA_00_05</w:t>
      </w:r>
      <w:r>
        <w:rPr>
          <w:color w:val="000000"/>
        </w:rPr>
        <w:t>:</w:t>
      </w:r>
    </w:p>
    <w:p>
      <w:pPr>
        <w:pStyle w:val="Normal"/>
        <w:rPr/>
      </w:pPr>
      <w:r>
        <w:rPr/>
        <w:t>Per testare se si sono configurati correttamente questi 2 servizi all’interno di webup, aggiungere un modulo di login che punta all’AS400 desiderato, e lanciare le seguenti fun dallo spotlight dopo essersi loggati nel modulo:</w:t>
      </w:r>
    </w:p>
    <w:p>
      <w:pPr>
        <w:pStyle w:val="Normal"/>
        <w:rPr/>
      </w:pPr>
      <w:r>
        <w:rPr>
          <w:u w:val="single" w:color="FFFFFF"/>
        </w:rPr>
        <w:t>NB: Per il corretto funzionamento dele seguenti FUN devono essere stati correttamente configurati gli indirizzi di rete</w:t>
      </w:r>
      <w:r>
        <w:rPr/>
        <w:t xml:space="preserve">   </w:t>
      </w:r>
    </w:p>
    <w:p>
      <w:pPr>
        <w:pStyle w:val="Normal"/>
        <w:rPr/>
      </w:pPr>
      <w:r>
        <w:rPr/>
      </w:r>
    </w:p>
    <w:p>
      <w:pPr>
        <w:pStyle w:val="Normal"/>
        <w:numPr>
          <w:ilvl w:val="0"/>
          <w:numId w:val="5"/>
        </w:numPr>
        <w:ind w:left="707" w:hanging="283"/>
        <w:rPr>
          <w:color w:val="000000"/>
          <w:sz w:val="24"/>
        </w:rPr>
      </w:pPr>
      <w:r>
        <w:rPr/>
        <w:t>per vedere il contenuto del volume condiviso:</w:t>
      </w:r>
    </w:p>
    <w:p>
      <w:pPr>
        <w:pStyle w:val="Normal"/>
        <w:rPr>
          <w:color w:val="000000"/>
        </w:rPr>
      </w:pPr>
      <w:r>
        <w:rPr/>
        <w:t>   </w:t>
      </w:r>
    </w:p>
    <w:p>
      <w:pPr>
        <w:pStyle w:val="Code"/>
        <w:rPr>
          <w:sz w:val="20"/>
          <w:szCs w:val="20"/>
        </w:rPr>
      </w:pPr>
      <w:r>
        <w:rPr/>
        <w:t>   </w:t>
      </w:r>
      <w:r>
        <w:rPr>
          <w:b/>
          <w:bCs/>
        </w:rPr>
        <w:t> </w:t>
      </w:r>
      <w:r>
        <w:rPr>
          <w:b/>
          <w:bCs/>
          <w:sz w:val="20"/>
          <w:szCs w:val="20"/>
        </w:rPr>
        <w:t>F(EXB;JA_00_05;LIS.ALL) 1(J1;PATHDIR;&lt;indirizzo di rete&gt;)</w:t>
      </w:r>
      <w:r>
        <w:rPr>
          <w:sz w:val="20"/>
          <w:szCs w:val="20"/>
        </w:rPr>
        <w:t>   </w:t>
      </w:r>
    </w:p>
    <w:p>
      <w:pPr>
        <w:pStyle w:val="Code"/>
        <w:rPr>
          <w:b/>
          <w:b/>
          <w:bCs/>
          <w:sz w:val="20"/>
          <w:szCs w:val="20"/>
        </w:rPr>
      </w:pPr>
      <w:r>
        <w:rPr>
          <w:b/>
          <w:bCs/>
        </w:rPr>
        <w:t>    </w:t>
      </w:r>
      <w:r>
        <w:rPr>
          <w:b/>
          <w:bCs/>
          <w:sz w:val="20"/>
          <w:szCs w:val="20"/>
        </w:rPr>
        <w:t>F(EXD;*SCO;) 1(J1;PATHDIR;&lt;indirizzo di rete&gt;) </w:t>
      </w:r>
    </w:p>
    <w:p>
      <w:pPr>
        <w:pStyle w:val="Code"/>
        <w:rPr>
          <w:sz w:val="20"/>
          <w:szCs w:val="20"/>
        </w:rPr>
      </w:pPr>
      <w:r>
        <w:rPr>
          <w:sz w:val="20"/>
          <w:szCs w:val="20"/>
        </w:rPr>
        <w:t>Ad esempio:</w:t>
      </w:r>
    </w:p>
    <w:p>
      <w:pPr>
        <w:pStyle w:val="Code"/>
        <w:rPr>
          <w:sz w:val="20"/>
          <w:szCs w:val="20"/>
        </w:rPr>
      </w:pPr>
      <w:r>
        <w:rPr/>
        <w:t>   </w:t>
      </w:r>
      <w:r>
        <w:rPr>
          <w:b/>
          <w:bCs/>
        </w:rPr>
        <w:t> </w:t>
      </w:r>
      <w:r>
        <w:rPr>
          <w:b/>
          <w:bCs/>
          <w:sz w:val="20"/>
          <w:szCs w:val="20"/>
        </w:rPr>
        <w:t>F(EXB;JA_00_05;LIS.ALL) 1(J1;PATHDIR;\\srv005.smeup.com\smeup)</w:t>
      </w:r>
      <w:r>
        <w:rPr>
          <w:sz w:val="20"/>
          <w:szCs w:val="20"/>
        </w:rPr>
        <w:t>   </w:t>
      </w:r>
    </w:p>
    <w:p>
      <w:pPr>
        <w:pStyle w:val="Code"/>
        <w:rPr>
          <w:b/>
          <w:b/>
          <w:bCs/>
          <w:sz w:val="20"/>
          <w:szCs w:val="20"/>
        </w:rPr>
      </w:pPr>
      <w:r>
        <w:rPr>
          <w:b/>
          <w:bCs/>
        </w:rPr>
        <w:t>    </w:t>
      </w:r>
      <w:r>
        <w:rPr>
          <w:b/>
          <w:bCs/>
          <w:sz w:val="20"/>
          <w:szCs w:val="20"/>
        </w:rPr>
        <w:t>F(EXD;*SCO;) 1(J1;PATHDIR;\\srv005.smeup.com\smeup) </w:t>
      </w:r>
    </w:p>
    <w:p>
      <w:pPr>
        <w:pStyle w:val="Normal"/>
        <w:rPr/>
      </w:pPr>
      <w:r>
        <w:rPr/>
      </w:r>
    </w:p>
    <w:p>
      <w:pPr>
        <w:pStyle w:val="Normal"/>
        <w:numPr>
          <w:ilvl w:val="0"/>
          <w:numId w:val="6"/>
        </w:numPr>
        <w:ind w:left="707" w:hanging="283"/>
        <w:rPr>
          <w:color w:val="000000"/>
          <w:sz w:val="24"/>
        </w:rPr>
      </w:pPr>
      <w:r>
        <w:rPr/>
        <w:t>per creare un file nel volume condiviso:</w:t>
      </w:r>
    </w:p>
    <w:p>
      <w:pPr>
        <w:pStyle w:val="Normal"/>
        <w:rPr/>
      </w:pPr>
      <w:r>
        <w:rPr/>
      </w:r>
    </w:p>
    <w:p>
      <w:pPr>
        <w:pStyle w:val="Code"/>
        <w:rPr>
          <w:b/>
          <w:b/>
          <w:bCs/>
          <w:sz w:val="20"/>
          <w:szCs w:val="20"/>
        </w:rPr>
      </w:pPr>
      <w:r>
        <w:rPr>
          <w:b/>
          <w:bCs/>
        </w:rPr>
        <w:t>    </w:t>
      </w:r>
      <w:r>
        <w:rPr>
          <w:b/>
          <w:bCs/>
          <w:sz w:val="20"/>
          <w:szCs w:val="20"/>
        </w:rPr>
        <w:t>F(INT;JA_00_05;WRI) 1(J1;PATHFILE;&lt;indirizzo di rete&gt;/sample-file.txt) P(OVERW(Append) ENC(UTF-8)) INPUT(TXT(sample))</w:t>
      </w:r>
    </w:p>
    <w:p>
      <w:pPr>
        <w:pStyle w:val="Code"/>
        <w:rPr>
          <w:sz w:val="20"/>
          <w:szCs w:val="20"/>
        </w:rPr>
      </w:pPr>
      <w:r>
        <w:rPr>
          <w:sz w:val="20"/>
          <w:szCs w:val="20"/>
        </w:rPr>
        <w:t>Ad esempio:</w:t>
      </w:r>
    </w:p>
    <w:p>
      <w:pPr>
        <w:pStyle w:val="Code"/>
        <w:rPr>
          <w:b/>
          <w:b/>
          <w:bCs/>
          <w:sz w:val="20"/>
          <w:szCs w:val="20"/>
        </w:rPr>
      </w:pPr>
      <w:r>
        <w:rPr>
          <w:b/>
          <w:bCs/>
        </w:rPr>
        <w:t>    </w:t>
      </w:r>
      <w:r>
        <w:rPr>
          <w:b/>
          <w:bCs/>
          <w:sz w:val="20"/>
          <w:szCs w:val="20"/>
        </w:rPr>
        <w:t>F(INT;JA_00_05;WRI) 1(J1;PATHFILE;\\srv005.smeup.com\smeup\sample-file.txt) P(OVERW(Append) ENC(UTF-8)) INPUT(TXT(sample))</w:t>
      </w:r>
    </w:p>
    <w:p>
      <w:pPr>
        <w:pStyle w:val="Normal"/>
        <w:rPr/>
      </w:pPr>
      <w:r>
        <w:rPr/>
      </w:r>
    </w:p>
    <w:p>
      <w:pPr>
        <w:pStyle w:val="Heading3"/>
        <w:rPr/>
      </w:pPr>
      <w:r>
        <w:rPr>
          <w:color w:val="000000"/>
          <w:u w:val="single" w:color="FFFFFF"/>
        </w:rPr>
        <w:t>AS400-PROXY e H53:</w:t>
      </w:r>
      <w:r>
        <w:rPr>
          <w:color w:val="000000"/>
        </w:rPr>
        <w:t xml:space="preserve"> </w:t>
      </w:r>
    </w:p>
    <w:p>
      <w:pPr>
        <w:pStyle w:val="Normal"/>
        <w:rPr/>
      </w:pPr>
      <w:r>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pPr>
      <w:r>
        <w:rPr/>
        <w:t>per ottenere il download di un pdf di solo testo non vuoto</w:t>
      </w:r>
    </w:p>
    <w:p>
      <w:pPr>
        <w:pStyle w:val="Code"/>
        <w:rPr>
          <w:b/>
          <w:b/>
          <w:bCs/>
        </w:rPr>
      </w:pPr>
      <w:r>
        <w:rPr>
          <w:b/>
          <w:bCs/>
        </w:rPr>
        <w:t>    </w:t>
      </w:r>
      <w:r>
        <w:rPr>
          <w:b/>
          <w:bCs/>
        </w:rPr>
        <w:t>F(G53;B£SER_43;STR.SIM) 1(MB;SCP_G53;ESE_B11) P(Opn(Yes))</w:t>
      </w:r>
    </w:p>
    <w:p>
      <w:pPr>
        <w:pStyle w:val="Normal"/>
        <w:numPr>
          <w:ilvl w:val="1"/>
          <w:numId w:val="7"/>
        </w:numPr>
        <w:ind w:left="1080" w:hanging="360"/>
        <w:rPr/>
      </w:pPr>
      <w:r>
        <w:rPr/>
        <w:t>per ottenere il download di un pdf con immagini non vuoto</w:t>
      </w:r>
    </w:p>
    <w:p>
      <w:pPr>
        <w:pStyle w:val="Code"/>
        <w:rPr>
          <w:b/>
          <w:b/>
          <w:bCs/>
        </w:rPr>
      </w:pPr>
      <w:r>
        <w:rPr>
          <w:b/>
          <w:bCs/>
        </w:rPr>
        <w:t>    </w:t>
      </w:r>
      <w:r>
        <w:rPr>
          <w:b/>
          <w:bCs/>
        </w:rPr>
        <w:t xml:space="preserve">F(G53;B£SER_43;STR.SIM) 1(MB;SCP_G53;ESE_S02) P(Opn(Yes)) </w:t>
      </w:r>
    </w:p>
    <w:p>
      <w:pPr>
        <w:pStyle w:val="Heading2"/>
        <w:rPr/>
      </w:pPr>
      <w:r>
        <w:rPr/>
      </w:r>
    </w:p>
    <w:p>
      <w:pPr>
        <w:pStyle w:val="Heading2"/>
        <w:rPr/>
      </w:pPr>
      <w:r>
        <w:rPr/>
        <w:t>Logs</w:t>
      </w:r>
    </w:p>
    <w:p>
      <w:pPr>
        <w:pStyle w:val="Normal"/>
        <w:rPr>
          <w:highlight w:val="yellow"/>
        </w:rPr>
      </w:pPr>
      <w:r>
        <w:rPr/>
        <w:t>E’ possibile trovare log specifici di ogni applicazione nella cartella var del rispettivo container (ad esempio ~/smartkit/smartkit-web/wn-prod1/containers/as400-proxy/var).</w:t>
      </w:r>
    </w:p>
    <w:p>
      <w:pPr>
        <w:pStyle w:val="Normal"/>
        <w:rPr>
          <w:highlight w:val="yellow"/>
        </w:rPr>
      </w:pPr>
      <w:r>
        <w:rPr/>
        <w:t xml:space="preserve">Nel caso dell’applicazione webup i suoi log specifici si trovano nella cartella payara del container di webup (ad esempio ~/smartkit/smartkit-web/wn-prod1/containers/webup/payara/logs). </w:t>
      </w:r>
    </w:p>
    <w:p>
      <w:pPr>
        <w:pStyle w:val="Normal"/>
        <w:rPr/>
      </w:pPr>
      <w:r>
        <w:rPr/>
        <w:t>E’ possibile ottenere informazioni di log da un determinato container lanciando il comando di docker logs sul nome del container.</w:t>
      </w:r>
    </w:p>
    <w:p>
      <w:pPr>
        <w:pStyle w:val="Normal"/>
        <w:rPr/>
      </w:pPr>
      <w:r>
        <w:rPr/>
      </w:r>
    </w:p>
    <w:p>
      <w:pPr>
        <w:pStyle w:val="Code"/>
        <w:rPr/>
      </w:pPr>
      <w:r>
        <w:rPr/>
        <w:t># per ottenere la lista dei container attivi:</w:t>
      </w:r>
    </w:p>
    <w:p>
      <w:pPr>
        <w:pStyle w:val="Code"/>
        <w:rPr/>
      </w:pPr>
      <w:r>
        <w:rPr/>
        <w:t xml:space="preserve">  </w:t>
      </w:r>
      <w:r>
        <w:rPr/>
        <w:t xml:space="preserve">$ &gt;  </w:t>
      </w:r>
      <w:r>
        <w:rPr>
          <w:b/>
          <w:bCs/>
        </w:rPr>
        <w:t xml:space="preserve">docker ps </w:t>
      </w:r>
    </w:p>
    <w:p>
      <w:pPr>
        <w:pStyle w:val="Code"/>
        <w:rPr/>
      </w:pPr>
      <w:r>
        <w:rPr/>
      </w:r>
    </w:p>
    <w:p>
      <w:pPr>
        <w:pStyle w:val="Code"/>
        <w:rPr/>
      </w:pPr>
      <w:r>
        <w:rPr/>
        <w:t># per vedere il log di un determinato container:</w:t>
      </w:r>
    </w:p>
    <w:p>
      <w:pPr>
        <w:pStyle w:val="Code"/>
        <w:rPr/>
      </w:pPr>
      <w:r>
        <w:rPr/>
        <w:t xml:space="preserve">  </w:t>
      </w:r>
      <w:r>
        <w:rPr/>
        <w:t xml:space="preserve">$ &gt;  </w:t>
      </w:r>
      <w:r>
        <w:rPr>
          <w:b/>
          <w:bCs/>
        </w:rPr>
        <w:t>docker logs container_name</w:t>
      </w:r>
    </w:p>
    <w:p>
      <w:pPr>
        <w:pStyle w:val="TextBody"/>
        <w:spacing w:lineRule="auto" w:line="331" w:before="0" w:after="0"/>
        <w:jc w:val="both"/>
        <w:rPr/>
      </w:pPr>
      <w:r>
        <w:rPr/>
      </w:r>
    </w:p>
    <w:p>
      <w:pPr>
        <w:pStyle w:val="TextBody"/>
        <w:spacing w:lineRule="auto" w:line="331" w:before="0" w:after="0"/>
        <w:jc w:val="both"/>
        <w:rPr/>
      </w:pPr>
      <w:r>
        <w:rPr/>
        <w:t>dopodichè</w:t>
      </w:r>
    </w:p>
    <w:p>
      <w:pPr>
        <w:pStyle w:val="Code"/>
        <w:rPr>
          <w:b/>
          <w:b/>
          <w:bCs/>
        </w:rPr>
      </w:pPr>
      <w:r>
        <w:rPr/>
        <w:t xml:space="preserve"> </w:t>
      </w:r>
      <w:r>
        <w:rPr/>
        <w:t xml:space="preserve">$ &gt;  </w:t>
      </w:r>
      <w:r>
        <w:rPr>
          <w:b/>
          <w:bCs/>
        </w:rPr>
        <w:t xml:space="preserve">docker logs &lt;ID_CONTAINER_DOCKER&gt; </w:t>
      </w:r>
    </w:p>
    <w:p>
      <w:pPr>
        <w:pStyle w:val="TextBody"/>
        <w:rPr>
          <w:highlight w:val="yellow"/>
        </w:rPr>
      </w:pPr>
      <w:r>
        <w:rPr>
          <w:highlight w:val="yellow"/>
        </w:rPr>
      </w:r>
    </w:p>
    <w:p>
      <w:pPr>
        <w:pStyle w:val="Heading2"/>
        <w:rPr/>
      </w:pPr>
      <w:r>
        <w:rPr/>
        <w:t>Aggiornamento di una wup-net</w:t>
      </w:r>
    </w:p>
    <w:p>
      <w:pPr>
        <w:pStyle w:val="Normal"/>
        <w:rPr/>
      </w:pPr>
      <w:r>
        <w:rPr/>
        <w:t xml:space="preserve">Per aggiornare una wup-net (ad esempio </w:t>
      </w:r>
      <w:r>
        <w:rPr>
          <w:i/>
          <w:iCs/>
          <w:color w:val="000000"/>
        </w:rPr>
        <w:t>prod1</w:t>
      </w:r>
      <w:r>
        <w:rPr>
          <w:color w:val="000000"/>
        </w:rPr>
        <w:t>)</w:t>
      </w:r>
      <w:r>
        <w:rPr/>
        <w:t xml:space="preserve"> è necessario lanciare il comando di </w:t>
      </w:r>
      <w:r>
        <w:rPr>
          <w:i/>
          <w:iCs/>
        </w:rPr>
        <w:t>wupnet-update-config</w:t>
      </w:r>
      <w:r>
        <w:rPr/>
        <w:t xml:space="preserve">. Il comando ha la seguente sintassi: </w:t>
      </w:r>
    </w:p>
    <w:p>
      <w:pPr>
        <w:pStyle w:val="Normal"/>
        <w:rPr/>
      </w:pPr>
      <w:r>
        <w:rPr/>
      </w:r>
    </w:p>
    <w:p>
      <w:pPr>
        <w:pStyle w:val="Code"/>
        <w:rPr>
          <w:b/>
          <w:b/>
          <w:bCs/>
        </w:rPr>
      </w:pPr>
      <w:r>
        <w:rPr/>
        <w:t xml:space="preserve">  </w:t>
      </w:r>
      <w:r>
        <w:rPr/>
        <w:t xml:space="preserve">$ &gt;  </w:t>
      </w:r>
      <w:r>
        <w:rPr>
          <w:b/>
          <w:bCs/>
        </w:rPr>
        <w:t xml:space="preserve">./smart.sh wupnet-update-config &lt;ID&gt; [VERSION] </w:t>
      </w:r>
    </w:p>
    <w:p>
      <w:pPr>
        <w:pStyle w:val="Normal"/>
        <w:rPr/>
      </w:pPr>
      <w:r>
        <w:rPr/>
      </w:r>
    </w:p>
    <w:p>
      <w:pPr>
        <w:pStyle w:val="Normal"/>
        <w:rPr/>
      </w:pPr>
      <w:r>
        <w:rPr>
          <w:color w:val="000000"/>
        </w:rPr>
        <w:t>Nel caso non venga inserita la versione, viene sempre usata l’ultima versione del wup-net (coincidente con l’ultima versione dello smartkit-web) disponibile.</w:t>
      </w:r>
    </w:p>
    <w:p>
      <w:pPr>
        <w:pStyle w:val="Normal"/>
        <w:rPr>
          <w:color w:val="000000"/>
        </w:rPr>
      </w:pPr>
      <w:r>
        <w:rPr>
          <w:color w:val="000000"/>
        </w:rPr>
        <w:t xml:space="preserve">Qui un esempio di aggiornamento forzato del wup-net </w:t>
      </w:r>
      <w:r>
        <w:rPr>
          <w:i/>
          <w:iCs/>
          <w:color w:val="000000"/>
        </w:rPr>
        <w:t>prod1</w:t>
      </w:r>
      <w:r>
        <w:rPr>
          <w:color w:val="000000"/>
        </w:rPr>
        <w:t xml:space="preserve"> alla versione 1.0.1</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pPr>
      <w:r>
        <w:rPr/>
        <w:t xml:space="preserve">Il comando effettua innanzitutto il backup della directory del wup-net con id </w:t>
      </w:r>
      <w:r>
        <w:rPr>
          <w:b/>
          <w:color w:val="000000"/>
        </w:rPr>
        <w:t xml:space="preserve">&lt;ID&gt; </w:t>
      </w:r>
      <w:r>
        <w:rPr/>
        <w:t xml:space="preserve">. Successivamente i container del wup-net con id </w:t>
      </w:r>
      <w:r>
        <w:rPr>
          <w:b/>
          <w:color w:val="000000"/>
        </w:rPr>
        <w:t>&lt;ID&gt;</w:t>
      </w:r>
      <w:r>
        <w:rPr/>
        <w:t xml:space="preserve"> vengono distrutti, quindi l’istanza di webup sarà da questo momento indisponibile. </w:t>
      </w:r>
    </w:p>
    <w:p>
      <w:pPr>
        <w:pStyle w:val="Normal"/>
        <w:rPr/>
      </w:pPr>
      <w:r>
        <w:rPr/>
        <w:t xml:space="preserve">A questo punto è possibile eventualmente modificare manualmente le variabili di ambiente, nel caso si desiderasse modificarne qualcuna, editando il file </w:t>
      </w:r>
      <w:r>
        <w:rPr>
          <w:i/>
          <w:iCs/>
          <w:color w:val="000000"/>
        </w:rPr>
        <w:t>custom.tfvars.</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highlight w:val="yellow"/>
        </w:rPr>
      </w:pPr>
      <w:r>
        <w:rPr>
          <w:highlight w:val="yellow"/>
        </w:rPr>
      </w:r>
    </w:p>
    <w:p>
      <w:pPr>
        <w:pStyle w:val="Normal"/>
        <w:rPr>
          <w:highlight w:val="yellow"/>
        </w:rPr>
      </w:pPr>
      <w:r>
        <w:rPr/>
        <w:t>Per concludere il processo di aggiornamento è necessario lanciare il comando di wupnet-apply-config, il quale ricrea i container del wup-net.</w:t>
      </w:r>
    </w:p>
    <w:p>
      <w:pPr>
        <w:pStyle w:val="Normal"/>
        <w:rPr/>
      </w:pPr>
      <w:r>
        <w:rPr/>
      </w:r>
    </w:p>
    <w:p>
      <w:pPr>
        <w:pStyle w:val="Code"/>
        <w:rPr/>
      </w:pPr>
      <w:r>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pPr>
      <w:r>
        <w:rPr/>
        <w:t xml:space="preserve"> </w:t>
      </w:r>
      <w:r>
        <w:rPr/>
        <w:t xml:space="preserve">Non vengono toccate le variabili di ambiente e i file dei containers. </w:t>
      </w:r>
    </w:p>
    <w:p>
      <w:pPr>
        <w:pStyle w:val="Normal"/>
        <w:rPr>
          <w:highlight w:val="yellow"/>
        </w:rPr>
      </w:pPr>
      <w:r>
        <w:rPr>
          <w:highlight w:val="yellow"/>
        </w:rPr>
      </w:r>
    </w:p>
    <w:p>
      <w:pPr>
        <w:pStyle w:val="Normal"/>
        <w:rPr>
          <w:b/>
          <w:b/>
          <w:bCs/>
          <w:u w:val="single" w:color="FFFFFF"/>
        </w:rPr>
      </w:pPr>
      <w:r>
        <w:rPr>
          <w:b/>
          <w:bCs/>
          <w:u w:val="single" w:color="FFFFFF"/>
        </w:rPr>
        <w:t xml:space="preserve">NB: Non è possibile aggiornare la singola versione di una sola applicazione (es: aggiornare solo webup da 1.18.6 a 1.18.7). </w:t>
      </w:r>
    </w:p>
    <w:p>
      <w:pPr>
        <w:pStyle w:val="Normal"/>
        <w:rPr>
          <w:b/>
          <w:b/>
          <w:bCs/>
          <w:highlight w:val="yellow"/>
          <w:u w:val="single" w:color="FFFFFF"/>
        </w:rPr>
      </w:pPr>
      <w:r>
        <w:rPr>
          <w:b/>
          <w:bCs/>
          <w:u w:val="single" w:color="FFFFFF"/>
        </w:rPr>
        <w:t>Bisogna fare update della versione dell’intero wup-net.</w:t>
      </w:r>
    </w:p>
    <w:p>
      <w:pPr>
        <w:pStyle w:val="Normal"/>
        <w:rPr/>
      </w:pPr>
      <w:r>
        <w:rPr/>
      </w:r>
    </w:p>
    <w:p>
      <w:pPr>
        <w:pStyle w:val="Normal"/>
        <w:rPr/>
      </w:pPr>
      <w:r>
        <w:rPr/>
      </w:r>
    </w:p>
    <w:p>
      <w:pPr>
        <w:pStyle w:val="Heading1"/>
        <w:rPr/>
      </w:pPr>
      <w:r>
        <w:rPr/>
        <w:t>Aggiornamento</w:t>
      </w:r>
    </w:p>
    <w:p>
      <w:pPr>
        <w:pStyle w:val="Normal"/>
        <w:rPr/>
      </w:pPr>
      <w:r>
        <w:rPr>
          <w:color w:val="000000"/>
        </w:rPr>
        <w:t xml:space="preserve">Per aggiornare lo smartkit-web è necessario effettuare l’operazione dallo smartkit-commons. </w:t>
      </w:r>
    </w:p>
    <w:p>
      <w:pPr>
        <w:pStyle w:val="Normal"/>
        <w:rPr/>
      </w:pPr>
      <w:r>
        <w:rPr/>
      </w:r>
    </w:p>
    <w:p>
      <w:pPr>
        <w:pStyle w:val="Code"/>
        <w:rPr/>
      </w:pPr>
      <w:r>
        <w:rPr/>
        <w:t xml:space="preserve">  </w:t>
      </w:r>
      <w:r>
        <w:rPr/>
        <w:t xml:space="preserve">$ &gt;  </w:t>
      </w:r>
      <w:r>
        <w:rPr>
          <w:b/>
          <w:bCs/>
        </w:rPr>
        <w:t>cd /home/smeup/smartkit/smartkit-commons/scripts/</w:t>
      </w:r>
    </w:p>
    <w:p>
      <w:pPr>
        <w:pStyle w:val="Code"/>
        <w:rPr/>
      </w:pPr>
      <w:r>
        <w:rPr/>
        <w:t xml:space="preserve">  </w:t>
      </w:r>
      <w:r>
        <w:rPr/>
        <w:t xml:space="preserve">$ &gt;  </w:t>
      </w:r>
      <w:r>
        <w:rPr>
          <w:b/>
          <w:bCs/>
        </w:rPr>
        <w:t>./smart.sh smartkit-update smartkit-web</w:t>
      </w:r>
    </w:p>
    <w:p>
      <w:pPr>
        <w:pStyle w:val="TextBody"/>
        <w:rPr/>
      </w:pPr>
      <w:r>
        <w:rPr/>
      </w:r>
    </w:p>
    <w:p>
      <w:pPr>
        <w:pStyle w:val="Normal"/>
        <w:rPr>
          <w:i/>
          <w:i/>
          <w:iCs/>
          <w:color w:val="000000"/>
        </w:rPr>
      </w:pPr>
      <w:r>
        <w:rPr>
          <w:i/>
          <w:iCs/>
        </w:rPr>
        <w:t xml:space="preserve">NOTA: </w:t>
      </w:r>
      <w:r>
        <w:rPr>
          <w:i/>
          <w:iCs/>
          <w:u w:val="single" w:color="FFFFFF"/>
        </w:rPr>
        <w:t>aggiornare lo smartkit-web significa aggiornare</w:t>
      </w:r>
      <w:r>
        <w:rPr>
          <w:i/>
          <w:iCs/>
          <w:color w:val="000000"/>
          <w:u w:val="single" w:color="FFFFFF"/>
        </w:rPr>
        <w:t xml:space="preserve"> lo strumento che facilita l’installazione e la manutenzione di una o più istanze di webup</w:t>
      </w:r>
      <w:r>
        <w:rPr>
          <w:i/>
          <w:iCs/>
          <w:color w:val="000000"/>
        </w:rPr>
        <w:t>. Per aggiornare la singola istanza andrà effettuato l’aggiornamento della singola wup-net, come descritto nelle pagine precedenti.</w:t>
      </w:r>
    </w:p>
    <w:p>
      <w:pPr>
        <w:pStyle w:val="Normal"/>
        <w:rPr>
          <w:i/>
          <w:i/>
          <w:iCs/>
        </w:rPr>
      </w:pPr>
      <w:r>
        <w:rPr>
          <w:i/>
          <w:iCs/>
        </w:rPr>
      </w:r>
    </w:p>
    <w:p>
      <w:pPr>
        <w:pStyle w:val="Heading1"/>
        <w:rPr/>
      </w:pPr>
      <w:r>
        <w:rPr/>
      </w:r>
    </w:p>
    <w:p>
      <w:pPr>
        <w:pStyle w:val="Heading1"/>
        <w:rPr/>
      </w:pPr>
      <w:r>
        <w:rPr/>
        <w:t>Configurazione Nginx</w:t>
      </w:r>
    </w:p>
    <w:p>
      <w:pPr>
        <w:pStyle w:val="Normal"/>
        <w:rPr/>
      </w:pPr>
      <w:r>
        <w:rPr/>
        <w:t xml:space="preserve">All’interno dell’immagine rilasciata con lo smartkit-commons vi è anche </w:t>
      </w:r>
      <w:r>
        <w:rPr>
          <w:b/>
          <w:bCs/>
        </w:rPr>
        <w:t>Nginx</w:t>
      </w:r>
      <w:r>
        <w:rPr/>
        <w:t xml:space="preserve">, un </w:t>
      </w:r>
      <w:r>
        <w:rPr>
          <w:i/>
          <w:iCs/>
        </w:rPr>
        <w:t>web server</w:t>
      </w:r>
      <w:r>
        <w:rPr/>
        <w:t xml:space="preserve"> che solitamente viene utilizzato per fare anche da </w:t>
      </w:r>
      <w:r>
        <w:rPr>
          <w:i/>
          <w:iCs/>
        </w:rPr>
        <w:t>reverse proxy</w:t>
      </w:r>
      <w:r>
        <w:rPr/>
        <w:t xml:space="preserve">, </w:t>
      </w:r>
      <w:r>
        <w:rPr>
          <w:i/>
          <w:iCs/>
        </w:rPr>
        <w:t>load balancer</w:t>
      </w:r>
      <w:r>
        <w:rPr/>
        <w:t xml:space="preserve">, </w:t>
      </w:r>
      <w:r>
        <w:rPr>
          <w:i/>
          <w:iCs/>
        </w:rPr>
        <w:t>mail proxy</w:t>
      </w:r>
      <w:r>
        <w:rPr/>
        <w:t>,</w:t>
      </w:r>
      <w:r>
        <w:rPr>
          <w:i/>
          <w:iCs/>
        </w:rPr>
        <w:t xml:space="preserve"> http cache</w:t>
      </w:r>
      <w:r>
        <w:rPr/>
        <w:t>, ecc....</w:t>
      </w:r>
    </w:p>
    <w:p>
      <w:pPr>
        <w:pStyle w:val="Normal"/>
        <w:rPr/>
      </w:pPr>
      <w:r>
        <w:rPr/>
        <w:br/>
        <w:t xml:space="preserve">Nel caso specifico verrà utilizzato nella declinazione </w:t>
      </w:r>
      <w:r>
        <w:rPr>
          <w:i/>
          <w:iCs/>
        </w:rPr>
        <w:t>reverse proxy</w:t>
      </w:r>
      <w:r>
        <w:rPr/>
        <w:t>.</w:t>
      </w:r>
    </w:p>
    <w:p>
      <w:pPr>
        <w:pStyle w:val="Normal"/>
        <w:rPr/>
      </w:pPr>
      <w:r>
        <w:rPr/>
        <w:t>Il suo compito sarà quello di gestire le richieste in ingresso sul protocollo http (o https) e reindirizzare il traffico alla corretta istanza di webup.</w:t>
      </w:r>
    </w:p>
    <w:p>
      <w:pPr>
        <w:pStyle w:val="Normal"/>
        <w:rPr/>
      </w:pPr>
      <w:r>
        <w:rPr/>
        <w:t>Il suo funzionamento è fondamentale se si vuole gestire correttamente il traffico https (e la conseguente gestione dei certificati) e la multi istanza di wupnet.</w:t>
      </w:r>
    </w:p>
    <w:p>
      <w:pPr>
        <w:pStyle w:val="Normal"/>
        <w:rPr/>
      </w:pPr>
      <w:r>
        <w:rPr/>
      </w:r>
    </w:p>
    <w:p>
      <w:pPr>
        <w:pStyle w:val="Normal"/>
        <w:rPr>
          <w:u w:val="single" w:color="FFFFFF"/>
        </w:rPr>
      </w:pPr>
      <w:r>
        <w:rPr>
          <w:u w:val="single" w:color="FFFFFF"/>
        </w:rPr>
        <w:t>NB: Ad oggi non è possibile il cambio di contextRoot all’interno delle wupnet. Per cui si avrà sempre il context root “WebUP” in tutte le wupnet installate.</w:t>
      </w:r>
    </w:p>
    <w:p>
      <w:pPr>
        <w:pStyle w:val="Normal"/>
        <w:rPr>
          <w:u w:val="single" w:color="FFFFFF"/>
        </w:rPr>
      </w:pPr>
      <w:r>
        <w:rPr>
          <w:u w:val="single" w:color="FFFFFF"/>
        </w:rPr>
      </w:r>
    </w:p>
    <w:p>
      <w:pPr>
        <w:pStyle w:val="Normal"/>
        <w:rPr/>
      </w:pPr>
      <w:r>
        <w:rPr/>
        <w:t>Riportiamo una semplice configurazione di esempio.</w:t>
        <w:br/>
        <w:t xml:space="preserve">In questo caso si ipotizza che il traffico arrivato sulla macchina </w:t>
      </w:r>
      <w:r>
        <w:rPr>
          <w:i/>
          <w:iCs/>
        </w:rPr>
        <w:t xml:space="preserve">http://www.clientdomain.com/WebUP </w:t>
      </w:r>
      <w:r>
        <w:rPr/>
        <w:t xml:space="preserve">venga gestito e indirizzato all’istanza di webup installata sulla macchina e che risponde alla porta </w:t>
      </w:r>
      <w:r>
        <w:rPr>
          <w:i/>
          <w:iCs/>
        </w:rPr>
        <w:t>9080</w:t>
      </w:r>
      <w:r>
        <w:rPr/>
        <w:t>.</w:t>
      </w:r>
    </w:p>
    <w:p>
      <w:pPr>
        <w:pStyle w:val="Normal"/>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p>
    <w:p>
      <w:pPr>
        <w:pStyle w:val="Code"/>
        <w:rPr/>
      </w:pPr>
      <w:bookmarkStart w:id="13"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3"/>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pPr>
      <w:r>
        <w:rPr/>
        <w:t xml:space="preserve">    </w:t>
      </w:r>
      <w:r>
        <w:rPr/>
        <w:t>listen       [::]:80 default_server;</w:t>
      </w:r>
    </w:p>
    <w:p>
      <w:pPr>
        <w:pStyle w:val="Code"/>
        <w:rPr/>
      </w:pPr>
      <w:r>
        <w:rPr/>
        <w:t xml:space="preserve">    </w:t>
      </w:r>
      <w:r>
        <w:rPr/>
        <w:t>server_name  www.clientdomain.com;</w:t>
      </w:r>
    </w:p>
    <w:p>
      <w:pPr>
        <w:pStyle w:val="Code"/>
        <w:rPr/>
      </w:pPr>
      <w:r>
        <w:rPr/>
      </w:r>
    </w:p>
    <w:p>
      <w:pPr>
        <w:pStyle w:val="Code"/>
        <w:rPr/>
      </w:pPr>
      <w:r>
        <w:rPr/>
        <w:t xml:space="preserve">    </w:t>
      </w:r>
      <w:r>
        <w:rPr/>
        <w:t>include /etc/nginx/default.d/*.conf;</w:t>
      </w:r>
    </w:p>
    <w:p>
      <w:pPr>
        <w:pStyle w:val="Code"/>
        <w:rPr/>
      </w:pPr>
      <w:r>
        <w:rPr/>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 xml:space="preserve">E’ possibile gestire anche i certificati (nell’esempio sottstante </w:t>
      </w:r>
      <w:r>
        <w:rPr>
          <w:i/>
          <w:iCs/>
        </w:rPr>
        <w:t xml:space="preserve">/etc/nginx/cert.crt </w:t>
      </w:r>
      <w:r>
        <w:rPr/>
        <w:t>e</w:t>
      </w:r>
      <w:r>
        <w:rPr>
          <w:i/>
          <w:iCs/>
        </w:rPr>
        <w:t xml:space="preserve"> cert.key</w:t>
      </w:r>
      <w:r>
        <w:rPr/>
        <w:t>) accettando il solo traffico https, e redirigere il traffico http in https inserendo per esempio:</w:t>
      </w:r>
    </w:p>
    <w:p>
      <w:pPr>
        <w:pStyle w:val="Normal"/>
        <w:rPr/>
      </w:pPr>
      <w:r>
        <w:rPr/>
      </w:r>
    </w:p>
    <w:p>
      <w:pPr>
        <w:pStyle w:val="Normal"/>
        <w:rPr/>
      </w:pPr>
      <w:r>
        <w:rPr/>
      </w:r>
    </w:p>
    <w:p>
      <w:pPr>
        <w:pStyle w:val="Code"/>
        <w:rPr/>
      </w:pP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w:t>
      </w:r>
    </w:p>
    <w:p>
      <w:pPr>
        <w:pStyle w:val="Code"/>
        <w:rPr/>
      </w:pPr>
      <w:r>
        <w:rPr/>
      </w:r>
    </w:p>
    <w:p>
      <w:pPr>
        <w:pStyle w:val="Code"/>
        <w:rPr/>
      </w:pPr>
      <w:r>
        <w:rPr/>
        <w:t>server {</w:t>
      </w:r>
    </w:p>
    <w:p>
      <w:pPr>
        <w:pStyle w:val="Code"/>
        <w:rPr/>
      </w:pPr>
      <w:r>
        <w:rPr/>
        <w:t xml:space="preserve">  </w:t>
      </w:r>
      <w:r>
        <w:rPr/>
        <w:t>listen 443;</w:t>
      </w:r>
    </w:p>
    <w:p>
      <w:pPr>
        <w:pStyle w:val="Code"/>
        <w:rPr/>
      </w:pPr>
      <w:r>
        <w:rPr/>
        <w:t xml:space="preserve">  </w:t>
      </w:r>
      <w:r>
        <w:rPr/>
        <w:t>server_name www.clientdomain.com;</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 on;</w:t>
      </w:r>
    </w:p>
    <w:p>
      <w:pPr>
        <w:pStyle w:val="Code"/>
        <w:rPr/>
      </w:pPr>
      <w:r>
        <w:rPr/>
        <w:t xml:space="preserve">  </w:t>
      </w:r>
      <w:r>
        <w:rPr/>
        <w:t>ssl_session_cache  builtin:1000  shared:SSL:10m;</w:t>
      </w:r>
    </w:p>
    <w:p>
      <w:pPr>
        <w:pStyle w:val="Code"/>
        <w:rPr/>
      </w:pPr>
      <w:r>
        <w:rPr/>
        <w:t xml:space="preserve">  </w:t>
      </w:r>
      <w:r>
        <w:rPr/>
        <w:t>ssl_protocols  TLSv1.1 TLSv1.2;</w:t>
      </w:r>
    </w:p>
    <w:p>
      <w:pPr>
        <w:pStyle w:val="Code"/>
        <w:rPr/>
      </w:pPr>
      <w:r>
        <w:rPr/>
        <w:t xml:space="preserve">  </w:t>
      </w:r>
      <w:r>
        <w:rPr/>
        <w:t>ssl_ciphers HIGH:!aNULL:!eNULL:!EXPORT:!CAMELLIA:!DES:!MD5:!PSK:!RC4;</w:t>
      </w:r>
    </w:p>
    <w:p>
      <w:pPr>
        <w:pStyle w:val="Code"/>
        <w:rPr/>
      </w:pPr>
      <w:r>
        <w:rPr/>
        <w:t xml:space="preserve">  </w:t>
      </w:r>
      <w:r>
        <w:rPr/>
        <w:t>ssl_prefer_server_ciphers on;</w:t>
      </w:r>
    </w:p>
    <w:p>
      <w:pPr>
        <w:pStyle w:val="Code"/>
        <w:rPr/>
      </w:pPr>
      <w:r>
        <w:rPr/>
      </w:r>
    </w:p>
    <w:p>
      <w:pPr>
        <w:pStyle w:val="Code"/>
        <w:rPr/>
      </w:pPr>
      <w:r>
        <w:rPr/>
        <w:t xml:space="preserve">    </w:t>
      </w:r>
      <w:r>
        <w:rPr/>
        <w:t>...</w:t>
      </w:r>
    </w:p>
    <w:p>
      <w:pPr>
        <w:pStyle w:val="Code"/>
        <w:rPr/>
      </w:pPr>
      <w:r>
        <w:rPr/>
        <w:t>}</w:t>
      </w:r>
    </w:p>
    <w:p>
      <w:pPr>
        <w:pStyle w:val="Normal"/>
        <w:rPr/>
      </w:pPr>
      <w:r>
        <w:rPr/>
      </w:r>
    </w:p>
    <w:p>
      <w:pPr>
        <w:pStyle w:val="Normal"/>
        <w:rPr/>
      </w:pPr>
      <w:r>
        <w:rPr/>
      </w:r>
    </w:p>
    <w:p>
      <w:pPr>
        <w:pStyle w:val="Normal"/>
        <w:rPr/>
      </w:pPr>
      <w:r>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17</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18">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rPr>
      <w:color w:val="0000FF"/>
      <w:u w:val="single" w:color="FFFFFF"/>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name w:val="ListLabel 694"/>
    <w:qFormat/>
    <w:rPr>
      <w:rFonts w:cs="Wingdings"/>
    </w:rPr>
  </w:style>
  <w:style w:type="character" w:styleId="ListLabel695">
    <w:name w:val="ListLabel 695"/>
    <w:qFormat/>
    <w:rPr>
      <w:rFonts w:ascii="Arial" w:hAnsi="Arial" w:cs="OpenSymbol"/>
      <w:b w:val="false"/>
      <w:sz w:val="22"/>
    </w:rPr>
  </w:style>
  <w:style w:type="character" w:styleId="ListLabel696">
    <w:name w:val="ListLabel 696"/>
    <w:qFormat/>
    <w:rPr>
      <w:rFonts w:cs="OpenSymbol"/>
    </w:rPr>
  </w:style>
  <w:style w:type="character" w:styleId="ListLabel697">
    <w:name w:val="ListLabel 697"/>
    <w:qFormat/>
    <w:rPr>
      <w:rFonts w:cs="OpenSymbol"/>
    </w:rPr>
  </w:style>
  <w:style w:type="character" w:styleId="ListLabel698">
    <w:name w:val="ListLabel 698"/>
    <w:qFormat/>
    <w:rPr>
      <w:rFonts w:cs="OpenSymbol"/>
    </w:rPr>
  </w:style>
  <w:style w:type="character" w:styleId="ListLabel699">
    <w:name w:val="ListLabel 699"/>
    <w:qFormat/>
    <w:rPr>
      <w:rFonts w:cs="OpenSymbol"/>
    </w:rPr>
  </w:style>
  <w:style w:type="character" w:styleId="ListLabel700">
    <w:name w:val="ListLabel 700"/>
    <w:qFormat/>
    <w:rPr>
      <w:rFonts w:cs="OpenSymbol"/>
    </w:rPr>
  </w:style>
  <w:style w:type="character" w:styleId="ListLabel701">
    <w:name w:val="ListLabel 701"/>
    <w:qFormat/>
    <w:rPr>
      <w:rFonts w:cs="OpenSymbol"/>
    </w:rPr>
  </w:style>
  <w:style w:type="character" w:styleId="ListLabel702">
    <w:name w:val="ListLabel 702"/>
    <w:qFormat/>
    <w:rPr>
      <w:rFonts w:cs="OpenSymbol"/>
    </w:rPr>
  </w:style>
  <w:style w:type="character" w:styleId="ListLabel703">
    <w:name w:val="ListLabel 703"/>
    <w:qFormat/>
    <w:rPr>
      <w:rFonts w:cs="OpenSymbol"/>
    </w:rPr>
  </w:style>
  <w:style w:type="character" w:styleId="ListLabel704">
    <w:name w:val="ListLabel 704"/>
    <w:qFormat/>
    <w:rPr>
      <w:rFonts w:cs="OpenSymbol"/>
      <w:b w:val="false"/>
      <w:sz w:val="22"/>
    </w:rPr>
  </w:style>
  <w:style w:type="character" w:styleId="ListLabel705">
    <w:name w:val="ListLabel 705"/>
    <w:qFormat/>
    <w:rPr>
      <w:rFonts w:cs="OpenSymbol"/>
    </w:rPr>
  </w:style>
  <w:style w:type="character" w:styleId="ListLabel706">
    <w:name w:val="ListLabel 706"/>
    <w:qFormat/>
    <w:rPr>
      <w:rFonts w:cs="OpenSymbol"/>
    </w:rPr>
  </w:style>
  <w:style w:type="character" w:styleId="ListLabel707">
    <w:name w:val="ListLabel 707"/>
    <w:qFormat/>
    <w:rPr>
      <w:rFonts w:cs="OpenSymbol"/>
    </w:rPr>
  </w:style>
  <w:style w:type="character" w:styleId="ListLabel708">
    <w:name w:val="ListLabel 708"/>
    <w:qFormat/>
    <w:rPr>
      <w:rFonts w:cs="OpenSymbol"/>
    </w:rPr>
  </w:style>
  <w:style w:type="character" w:styleId="ListLabel709">
    <w:name w:val="ListLabel 709"/>
    <w:qFormat/>
    <w:rPr>
      <w:rFonts w:cs="OpenSymbol"/>
    </w:rPr>
  </w:style>
  <w:style w:type="character" w:styleId="ListLabel710">
    <w:name w:val="ListLabel 710"/>
    <w:qFormat/>
    <w:rPr>
      <w:rFonts w:cs="OpenSymbol"/>
    </w:rPr>
  </w:style>
  <w:style w:type="character" w:styleId="ListLabel711">
    <w:name w:val="ListLabel 711"/>
    <w:qFormat/>
    <w:rPr>
      <w:rFonts w:cs="OpenSymbol"/>
    </w:rPr>
  </w:style>
  <w:style w:type="character" w:styleId="ListLabel712">
    <w:name w:val="ListLabel 712"/>
    <w:qFormat/>
    <w:rPr>
      <w:rFonts w:cs="OpenSymbol"/>
    </w:rPr>
  </w:style>
  <w:style w:type="character" w:styleId="ListLabel713">
    <w:name w:val="ListLabel 713"/>
    <w:qFormat/>
    <w:rPr>
      <w:rFonts w:cs="OpenSymbol"/>
      <w:b w:val="false"/>
      <w:sz w:val="22"/>
    </w:rPr>
  </w:style>
  <w:style w:type="character" w:styleId="ListLabel714">
    <w:name w:val="ListLabel 714"/>
    <w:qFormat/>
    <w:rPr>
      <w:rFonts w:cs="OpenSymbol"/>
    </w:rPr>
  </w:style>
  <w:style w:type="character" w:styleId="ListLabel715">
    <w:name w:val="ListLabel 715"/>
    <w:qFormat/>
    <w:rPr>
      <w:rFonts w:cs="OpenSymbol"/>
    </w:rPr>
  </w:style>
  <w:style w:type="character" w:styleId="ListLabel716">
    <w:name w:val="ListLabel 716"/>
    <w:qFormat/>
    <w:rPr>
      <w:rFonts w:cs="OpenSymbol"/>
    </w:rPr>
  </w:style>
  <w:style w:type="character" w:styleId="ListLabel717">
    <w:name w:val="ListLabel 717"/>
    <w:qFormat/>
    <w:rPr>
      <w:rFonts w:cs="OpenSymbol"/>
    </w:rPr>
  </w:style>
  <w:style w:type="character" w:styleId="ListLabel718">
    <w:name w:val="ListLabel 718"/>
    <w:qFormat/>
    <w:rPr>
      <w:rFonts w:cs="OpenSymbol"/>
    </w:rPr>
  </w:style>
  <w:style w:type="character" w:styleId="ListLabel719">
    <w:name w:val="ListLabel 719"/>
    <w:qFormat/>
    <w:rPr>
      <w:rFonts w:cs="OpenSymbol"/>
    </w:rPr>
  </w:style>
  <w:style w:type="character" w:styleId="ListLabel720">
    <w:name w:val="ListLabel 720"/>
    <w:qFormat/>
    <w:rPr>
      <w:rFonts w:cs="OpenSymbol"/>
    </w:rPr>
  </w:style>
  <w:style w:type="character" w:styleId="ListLabel721">
    <w:name w:val="ListLabel 721"/>
    <w:qFormat/>
    <w:rPr>
      <w:rFonts w:cs="OpenSymbol"/>
    </w:rPr>
  </w:style>
  <w:style w:type="character" w:styleId="ListLabel722">
    <w:name w:val="ListLabel 722"/>
    <w:qFormat/>
    <w:rPr>
      <w:rFonts w:cs="OpenSymbol"/>
      <w:b w:val="false"/>
      <w:sz w:val="24"/>
    </w:rPr>
  </w:style>
  <w:style w:type="character" w:styleId="ListLabel723">
    <w:name w:val="ListLabel 723"/>
    <w:qFormat/>
    <w:rPr>
      <w:rFonts w:cs="OpenSymbol"/>
    </w:rPr>
  </w:style>
  <w:style w:type="character" w:styleId="ListLabel724">
    <w:name w:val="ListLabel 724"/>
    <w:qFormat/>
    <w:rPr>
      <w:rFonts w:cs="OpenSymbol"/>
    </w:rPr>
  </w:style>
  <w:style w:type="character" w:styleId="ListLabel725">
    <w:name w:val="ListLabel 725"/>
    <w:qFormat/>
    <w:rPr>
      <w:rFonts w:cs="OpenSymbol"/>
    </w:rPr>
  </w:style>
  <w:style w:type="character" w:styleId="ListLabel726">
    <w:name w:val="ListLabel 726"/>
    <w:qFormat/>
    <w:rPr>
      <w:rFonts w:cs="OpenSymbol"/>
    </w:rPr>
  </w:style>
  <w:style w:type="character" w:styleId="ListLabel727">
    <w:name w:val="ListLabel 727"/>
    <w:qFormat/>
    <w:rPr>
      <w:rFonts w:cs="OpenSymbol"/>
    </w:rPr>
  </w:style>
  <w:style w:type="character" w:styleId="ListLabel728">
    <w:name w:val="ListLabel 728"/>
    <w:qFormat/>
    <w:rPr>
      <w:rFonts w:cs="OpenSymbol"/>
    </w:rPr>
  </w:style>
  <w:style w:type="character" w:styleId="ListLabel729">
    <w:name w:val="ListLabel 729"/>
    <w:qFormat/>
    <w:rPr>
      <w:rFonts w:cs="OpenSymbol"/>
    </w:rPr>
  </w:style>
  <w:style w:type="character" w:styleId="ListLabel730">
    <w:name w:val="ListLabel 730"/>
    <w:qFormat/>
    <w:rPr>
      <w:rFonts w:cs="OpenSymbol"/>
    </w:rPr>
  </w:style>
  <w:style w:type="character" w:styleId="ListLabel731">
    <w:name w:val="ListLabel 731"/>
    <w:qFormat/>
    <w:rPr>
      <w:rFonts w:cs="OpenSymbol"/>
      <w:b w:val="false"/>
      <w:sz w:val="24"/>
    </w:rPr>
  </w:style>
  <w:style w:type="character" w:styleId="ListLabel732">
    <w:name w:val="ListLabel 732"/>
    <w:qFormat/>
    <w:rPr>
      <w:rFonts w:cs="OpenSymbol"/>
    </w:rPr>
  </w:style>
  <w:style w:type="character" w:styleId="ListLabel733">
    <w:name w:val="ListLabel 733"/>
    <w:qFormat/>
    <w:rPr>
      <w:rFonts w:cs="OpenSymbol"/>
    </w:rPr>
  </w:style>
  <w:style w:type="character" w:styleId="ListLabel734">
    <w:name w:val="ListLabel 734"/>
    <w:qFormat/>
    <w:rPr>
      <w:rFonts w:cs="OpenSymbol"/>
    </w:rPr>
  </w:style>
  <w:style w:type="character" w:styleId="ListLabel735">
    <w:name w:val="ListLabel 735"/>
    <w:qFormat/>
    <w:rPr>
      <w:rFonts w:cs="OpenSymbol"/>
    </w:rPr>
  </w:style>
  <w:style w:type="character" w:styleId="ListLabel736">
    <w:name w:val="ListLabel 736"/>
    <w:qFormat/>
    <w:rPr>
      <w:rFonts w:cs="OpenSymbol"/>
    </w:rPr>
  </w:style>
  <w:style w:type="character" w:styleId="ListLabel737">
    <w:name w:val="ListLabel 737"/>
    <w:qFormat/>
    <w:rPr>
      <w:rFonts w:cs="OpenSymbol"/>
    </w:rPr>
  </w:style>
  <w:style w:type="character" w:styleId="ListLabel738">
    <w:name w:val="ListLabel 738"/>
    <w:qFormat/>
    <w:rPr>
      <w:rFonts w:cs="OpenSymbol"/>
    </w:rPr>
  </w:style>
  <w:style w:type="character" w:styleId="ListLabel739">
    <w:name w:val="ListLabel 739"/>
    <w:qFormat/>
    <w:rPr>
      <w:rFonts w:cs="OpenSymbol"/>
    </w:rPr>
  </w:style>
  <w:style w:type="character" w:styleId="ListLabel740">
    <w:name w:val="ListLabel 740"/>
    <w:qFormat/>
    <w:rPr>
      <w:rFonts w:cs="OpenSymbol"/>
    </w:rPr>
  </w:style>
  <w:style w:type="character" w:styleId="ListLabel741">
    <w:name w:val="ListLabel 741"/>
    <w:qFormat/>
    <w:rPr>
      <w:rFonts w:cs="OpenSymbol"/>
    </w:rPr>
  </w:style>
  <w:style w:type="character" w:styleId="ListLabel742">
    <w:name w:val="ListLabel 742"/>
    <w:qFormat/>
    <w:rPr>
      <w:rFonts w:cs="OpenSymbol"/>
    </w:rPr>
  </w:style>
  <w:style w:type="character" w:styleId="ListLabel743">
    <w:name w:val="ListLabel 743"/>
    <w:qFormat/>
    <w:rPr>
      <w:rFonts w:cs="OpenSymbol"/>
    </w:rPr>
  </w:style>
  <w:style w:type="character" w:styleId="ListLabel744">
    <w:name w:val="ListLabel 744"/>
    <w:qFormat/>
    <w:rPr>
      <w:rFonts w:cs="OpenSymbol"/>
    </w:rPr>
  </w:style>
  <w:style w:type="character" w:styleId="ListLabel745">
    <w:name w:val="ListLabel 745"/>
    <w:qFormat/>
    <w:rPr>
      <w:rFonts w:cs="OpenSymbol"/>
    </w:rPr>
  </w:style>
  <w:style w:type="character" w:styleId="ListLabel746">
    <w:name w:val="ListLabel 746"/>
    <w:qFormat/>
    <w:rPr>
      <w:rFonts w:cs="OpenSymbol"/>
    </w:rPr>
  </w:style>
  <w:style w:type="character" w:styleId="ListLabel747">
    <w:name w:val="ListLabel 747"/>
    <w:qFormat/>
    <w:rPr>
      <w:rFonts w:cs="OpenSymbol"/>
    </w:rPr>
  </w:style>
  <w:style w:type="character" w:styleId="ListLabel748">
    <w:name w:val="ListLabel 748"/>
    <w:qFormat/>
    <w:rPr>
      <w:rFonts w:cs="OpenSymbol"/>
    </w:rPr>
  </w:style>
  <w:style w:type="character" w:styleId="ListLabel749">
    <w:name w:val="ListLabel 749"/>
    <w:qFormat/>
    <w:rPr>
      <w:rFonts w:cs="OpenSymbol"/>
      <w:b w:val="false"/>
      <w:sz w:val="24"/>
    </w:rPr>
  </w:style>
  <w:style w:type="character" w:styleId="ListLabel750">
    <w:name w:val="ListLabel 750"/>
    <w:qFormat/>
    <w:rPr>
      <w:rFonts w:cs="OpenSymbol"/>
    </w:rPr>
  </w:style>
  <w:style w:type="character" w:styleId="ListLabel751">
    <w:name w:val="ListLabel 751"/>
    <w:qFormat/>
    <w:rPr>
      <w:rFonts w:cs="OpenSymbol"/>
    </w:rPr>
  </w:style>
  <w:style w:type="character" w:styleId="ListLabel752">
    <w:name w:val="ListLabel 752"/>
    <w:qFormat/>
    <w:rPr>
      <w:rFonts w:cs="OpenSymbol"/>
    </w:rPr>
  </w:style>
  <w:style w:type="character" w:styleId="ListLabel753">
    <w:name w:val="ListLabel 753"/>
    <w:qFormat/>
    <w:rPr>
      <w:rFonts w:cs="OpenSymbol"/>
    </w:rPr>
  </w:style>
  <w:style w:type="character" w:styleId="ListLabel754">
    <w:name w:val="ListLabel 754"/>
    <w:qFormat/>
    <w:rPr>
      <w:rFonts w:cs="OpenSymbol"/>
    </w:rPr>
  </w:style>
  <w:style w:type="character" w:styleId="ListLabel755">
    <w:name w:val="ListLabel 755"/>
    <w:qFormat/>
    <w:rPr>
      <w:rFonts w:cs="OpenSymbol"/>
    </w:rPr>
  </w:style>
  <w:style w:type="character" w:styleId="ListLabel756">
    <w:name w:val="ListLabel 756"/>
    <w:qFormat/>
    <w:rPr>
      <w:rFonts w:cs="OpenSymbol"/>
    </w:rPr>
  </w:style>
  <w:style w:type="character" w:styleId="ListLabel757">
    <w:name w:val="ListLabel 757"/>
    <w:qFormat/>
    <w:rPr>
      <w:rFonts w:cs="OpenSymbol"/>
    </w:rPr>
  </w:style>
  <w:style w:type="character" w:styleId="ListLabel758">
    <w:name w:val="ListLabel 758"/>
    <w:qFormat/>
    <w:rPr>
      <w:rFonts w:cs="Wingdings"/>
      <w:b/>
    </w:rPr>
  </w:style>
  <w:style w:type="character" w:styleId="ListLabel759">
    <w:name w:val="ListLabel 759"/>
    <w:qFormat/>
    <w:rPr>
      <w:rFonts w:cs="Wingdings"/>
    </w:rPr>
  </w:style>
  <w:style w:type="character" w:styleId="ListLabel760">
    <w:name w:val="ListLabel 760"/>
    <w:qFormat/>
    <w:rPr>
      <w:rFonts w:ascii="Arial" w:hAnsi="Arial" w:cs="OpenSymbol"/>
      <w:b w:val="false"/>
      <w:sz w:val="22"/>
    </w:rPr>
  </w:style>
  <w:style w:type="character" w:styleId="ListLabel761">
    <w:name w:val="ListLabel 761"/>
    <w:qFormat/>
    <w:rPr>
      <w:rFonts w:cs="OpenSymbol"/>
    </w:rPr>
  </w:style>
  <w:style w:type="character" w:styleId="ListLabel762">
    <w:name w:val="ListLabel 762"/>
    <w:qFormat/>
    <w:rPr>
      <w:rFonts w:cs="OpenSymbol"/>
    </w:rPr>
  </w:style>
  <w:style w:type="character" w:styleId="ListLabel763">
    <w:name w:val="ListLabel 763"/>
    <w:qFormat/>
    <w:rPr>
      <w:rFonts w:cs="OpenSymbol"/>
    </w:rPr>
  </w:style>
  <w:style w:type="character" w:styleId="ListLabel764">
    <w:name w:val="ListLabel 764"/>
    <w:qFormat/>
    <w:rPr>
      <w:rFonts w:cs="OpenSymbol"/>
    </w:rPr>
  </w:style>
  <w:style w:type="character" w:styleId="ListLabel765">
    <w:name w:val="ListLabel 765"/>
    <w:qFormat/>
    <w:rPr>
      <w:rFonts w:cs="OpenSymbol"/>
    </w:rPr>
  </w:style>
  <w:style w:type="character" w:styleId="ListLabel766">
    <w:name w:val="ListLabel 766"/>
    <w:qFormat/>
    <w:rPr>
      <w:rFonts w:cs="OpenSymbol"/>
    </w:rPr>
  </w:style>
  <w:style w:type="character" w:styleId="ListLabel767">
    <w:name w:val="ListLabel 767"/>
    <w:qFormat/>
    <w:rPr>
      <w:rFonts w:cs="OpenSymbol"/>
    </w:rPr>
  </w:style>
  <w:style w:type="character" w:styleId="ListLabel768">
    <w:name w:val="ListLabel 768"/>
    <w:qFormat/>
    <w:rPr>
      <w:rFonts w:cs="OpenSymbol"/>
    </w:rPr>
  </w:style>
  <w:style w:type="character" w:styleId="ListLabel769">
    <w:name w:val="ListLabel 769"/>
    <w:qFormat/>
    <w:rPr>
      <w:rFonts w:cs="OpenSymbol"/>
      <w:b w:val="false"/>
      <w:sz w:val="22"/>
    </w:rPr>
  </w:style>
  <w:style w:type="character" w:styleId="ListLabel770">
    <w:name w:val="ListLabel 770"/>
    <w:qFormat/>
    <w:rPr>
      <w:rFonts w:cs="OpenSymbol"/>
    </w:rPr>
  </w:style>
  <w:style w:type="character" w:styleId="ListLabel771">
    <w:name w:val="ListLabel 771"/>
    <w:qFormat/>
    <w:rPr>
      <w:rFonts w:cs="OpenSymbol"/>
    </w:rPr>
  </w:style>
  <w:style w:type="character" w:styleId="ListLabel772">
    <w:name w:val="ListLabel 772"/>
    <w:qFormat/>
    <w:rPr>
      <w:rFonts w:cs="OpenSymbol"/>
    </w:rPr>
  </w:style>
  <w:style w:type="character" w:styleId="ListLabel773">
    <w:name w:val="ListLabel 773"/>
    <w:qFormat/>
    <w:rPr>
      <w:rFonts w:cs="OpenSymbol"/>
    </w:rPr>
  </w:style>
  <w:style w:type="character" w:styleId="ListLabel774">
    <w:name w:val="ListLabel 774"/>
    <w:qFormat/>
    <w:rPr>
      <w:rFonts w:cs="OpenSymbol"/>
    </w:rPr>
  </w:style>
  <w:style w:type="character" w:styleId="ListLabel775">
    <w:name w:val="ListLabel 775"/>
    <w:qFormat/>
    <w:rPr>
      <w:rFonts w:cs="OpenSymbol"/>
    </w:rPr>
  </w:style>
  <w:style w:type="character" w:styleId="ListLabel776">
    <w:name w:val="ListLabel 776"/>
    <w:qFormat/>
    <w:rPr>
      <w:rFonts w:cs="OpenSymbol"/>
    </w:rPr>
  </w:style>
  <w:style w:type="character" w:styleId="ListLabel777">
    <w:name w:val="ListLabel 777"/>
    <w:qFormat/>
    <w:rPr>
      <w:rFonts w:cs="OpenSymbol"/>
    </w:rPr>
  </w:style>
  <w:style w:type="character" w:styleId="ListLabel778">
    <w:name w:val="ListLabel 778"/>
    <w:qFormat/>
    <w:rPr>
      <w:rFonts w:cs="OpenSymbol"/>
      <w:b w:val="false"/>
      <w:sz w:val="22"/>
    </w:rPr>
  </w:style>
  <w:style w:type="character" w:styleId="ListLabel779">
    <w:name w:val="ListLabel 779"/>
    <w:qFormat/>
    <w:rPr>
      <w:rFonts w:cs="OpenSymbol"/>
    </w:rPr>
  </w:style>
  <w:style w:type="character" w:styleId="ListLabel780">
    <w:name w:val="ListLabel 780"/>
    <w:qFormat/>
    <w:rPr>
      <w:rFonts w:cs="OpenSymbol"/>
    </w:rPr>
  </w:style>
  <w:style w:type="character" w:styleId="ListLabel781">
    <w:name w:val="ListLabel 781"/>
    <w:qFormat/>
    <w:rPr>
      <w:rFonts w:cs="OpenSymbol"/>
    </w:rPr>
  </w:style>
  <w:style w:type="character" w:styleId="ListLabel782">
    <w:name w:val="ListLabel 782"/>
    <w:qFormat/>
    <w:rPr>
      <w:rFonts w:cs="OpenSymbol"/>
    </w:rPr>
  </w:style>
  <w:style w:type="character" w:styleId="ListLabel783">
    <w:name w:val="ListLabel 783"/>
    <w:qFormat/>
    <w:rPr>
      <w:rFonts w:cs="OpenSymbol"/>
    </w:rPr>
  </w:style>
  <w:style w:type="character" w:styleId="ListLabel784">
    <w:name w:val="ListLabel 784"/>
    <w:qFormat/>
    <w:rPr>
      <w:rFonts w:cs="OpenSymbol"/>
    </w:rPr>
  </w:style>
  <w:style w:type="character" w:styleId="ListLabel785">
    <w:name w:val="ListLabel 785"/>
    <w:qFormat/>
    <w:rPr>
      <w:rFonts w:cs="OpenSymbol"/>
    </w:rPr>
  </w:style>
  <w:style w:type="character" w:styleId="ListLabel786">
    <w:name w:val="ListLabel 786"/>
    <w:qFormat/>
    <w:rPr>
      <w:rFonts w:cs="OpenSymbol"/>
    </w:rPr>
  </w:style>
  <w:style w:type="character" w:styleId="ListLabel787">
    <w:name w:val="ListLabel 787"/>
    <w:qFormat/>
    <w:rPr>
      <w:rFonts w:cs="OpenSymbol"/>
      <w:b w:val="false"/>
      <w:sz w:val="24"/>
    </w:rPr>
  </w:style>
  <w:style w:type="character" w:styleId="ListLabel788">
    <w:name w:val="ListLabel 788"/>
    <w:qFormat/>
    <w:rPr>
      <w:rFonts w:cs="OpenSymbol"/>
    </w:rPr>
  </w:style>
  <w:style w:type="character" w:styleId="ListLabel789">
    <w:name w:val="ListLabel 789"/>
    <w:qFormat/>
    <w:rPr>
      <w:rFonts w:cs="OpenSymbol"/>
    </w:rPr>
  </w:style>
  <w:style w:type="character" w:styleId="ListLabel790">
    <w:name w:val="ListLabel 790"/>
    <w:qFormat/>
    <w:rPr>
      <w:rFonts w:cs="OpenSymbol"/>
    </w:rPr>
  </w:style>
  <w:style w:type="character" w:styleId="ListLabel791">
    <w:name w:val="ListLabel 791"/>
    <w:qFormat/>
    <w:rPr>
      <w:rFonts w:cs="OpenSymbol"/>
    </w:rPr>
  </w:style>
  <w:style w:type="character" w:styleId="ListLabel792">
    <w:name w:val="ListLabel 792"/>
    <w:qFormat/>
    <w:rPr>
      <w:rFonts w:cs="OpenSymbol"/>
    </w:rPr>
  </w:style>
  <w:style w:type="character" w:styleId="ListLabel793">
    <w:name w:val="ListLabel 793"/>
    <w:qFormat/>
    <w:rPr>
      <w:rFonts w:cs="OpenSymbol"/>
    </w:rPr>
  </w:style>
  <w:style w:type="character" w:styleId="ListLabel794">
    <w:name w:val="ListLabel 794"/>
    <w:qFormat/>
    <w:rPr>
      <w:rFonts w:cs="OpenSymbol"/>
    </w:rPr>
  </w:style>
  <w:style w:type="character" w:styleId="ListLabel795">
    <w:name w:val="ListLabel 795"/>
    <w:qFormat/>
    <w:rPr>
      <w:rFonts w:cs="OpenSymbol"/>
    </w:rPr>
  </w:style>
  <w:style w:type="character" w:styleId="ListLabel796">
    <w:name w:val="ListLabel 796"/>
    <w:qFormat/>
    <w:rPr>
      <w:rFonts w:cs="OpenSymbol"/>
      <w:b w:val="false"/>
      <w:sz w:val="24"/>
    </w:rPr>
  </w:style>
  <w:style w:type="character" w:styleId="ListLabel797">
    <w:name w:val="ListLabel 797"/>
    <w:qFormat/>
    <w:rPr>
      <w:rFonts w:cs="OpenSymbol"/>
    </w:rPr>
  </w:style>
  <w:style w:type="character" w:styleId="ListLabel798">
    <w:name w:val="ListLabel 798"/>
    <w:qFormat/>
    <w:rPr>
      <w:rFonts w:cs="OpenSymbol"/>
    </w:rPr>
  </w:style>
  <w:style w:type="character" w:styleId="ListLabel799">
    <w:name w:val="ListLabel 799"/>
    <w:qFormat/>
    <w:rPr>
      <w:rFonts w:cs="OpenSymbol"/>
    </w:rPr>
  </w:style>
  <w:style w:type="character" w:styleId="ListLabel800">
    <w:name w:val="ListLabel 800"/>
    <w:qFormat/>
    <w:rPr>
      <w:rFonts w:cs="OpenSymbol"/>
    </w:rPr>
  </w:style>
  <w:style w:type="character" w:styleId="ListLabel801">
    <w:name w:val="ListLabel 801"/>
    <w:qFormat/>
    <w:rPr>
      <w:rFonts w:cs="OpenSymbol"/>
    </w:rPr>
  </w:style>
  <w:style w:type="character" w:styleId="ListLabel802">
    <w:name w:val="ListLabel 802"/>
    <w:qFormat/>
    <w:rPr>
      <w:rFonts w:cs="OpenSymbol"/>
    </w:rPr>
  </w:style>
  <w:style w:type="character" w:styleId="ListLabel803">
    <w:name w:val="ListLabel 803"/>
    <w:qFormat/>
    <w:rPr>
      <w:rFonts w:cs="OpenSymbol"/>
    </w:rPr>
  </w:style>
  <w:style w:type="character" w:styleId="ListLabel804">
    <w:name w:val="ListLabel 804"/>
    <w:qFormat/>
    <w:rPr>
      <w:rFonts w:cs="OpenSymbol"/>
    </w:rPr>
  </w:style>
  <w:style w:type="character" w:styleId="ListLabel805">
    <w:name w:val="ListLabel 805"/>
    <w:qFormat/>
    <w:rPr>
      <w:rFonts w:cs="OpenSymbol"/>
    </w:rPr>
  </w:style>
  <w:style w:type="character" w:styleId="ListLabel806">
    <w:name w:val="ListLabel 806"/>
    <w:qFormat/>
    <w:rPr>
      <w:rFonts w:cs="OpenSymbol"/>
    </w:rPr>
  </w:style>
  <w:style w:type="character" w:styleId="ListLabel807">
    <w:name w:val="ListLabel 807"/>
    <w:qFormat/>
    <w:rPr>
      <w:rFonts w:cs="OpenSymbol"/>
    </w:rPr>
  </w:style>
  <w:style w:type="character" w:styleId="ListLabel808">
    <w:name w:val="ListLabel 808"/>
    <w:qFormat/>
    <w:rPr>
      <w:rFonts w:cs="OpenSymbol"/>
    </w:rPr>
  </w:style>
  <w:style w:type="character" w:styleId="ListLabel809">
    <w:name w:val="ListLabel 809"/>
    <w:qFormat/>
    <w:rPr>
      <w:rFonts w:cs="OpenSymbol"/>
    </w:rPr>
  </w:style>
  <w:style w:type="character" w:styleId="ListLabel810">
    <w:name w:val="ListLabel 810"/>
    <w:qFormat/>
    <w:rPr>
      <w:rFonts w:cs="OpenSymbol"/>
    </w:rPr>
  </w:style>
  <w:style w:type="character" w:styleId="ListLabel811">
    <w:name w:val="ListLabel 811"/>
    <w:qFormat/>
    <w:rPr>
      <w:rFonts w:cs="OpenSymbol"/>
    </w:rPr>
  </w:style>
  <w:style w:type="character" w:styleId="ListLabel812">
    <w:name w:val="ListLabel 812"/>
    <w:qFormat/>
    <w:rPr>
      <w:rFonts w:cs="OpenSymbol"/>
    </w:rPr>
  </w:style>
  <w:style w:type="character" w:styleId="ListLabel813">
    <w:name w:val="ListLabel 813"/>
    <w:qFormat/>
    <w:rPr>
      <w:rFonts w:cs="OpenSymbol"/>
    </w:rPr>
  </w:style>
  <w:style w:type="character" w:styleId="ListLabel814">
    <w:name w:val="ListLabel 814"/>
    <w:qFormat/>
    <w:rPr>
      <w:rFonts w:cs="OpenSymbol"/>
      <w:b w:val="false"/>
      <w:sz w:val="24"/>
    </w:rPr>
  </w:style>
  <w:style w:type="character" w:styleId="ListLabel815">
    <w:name w:val="ListLabel 815"/>
    <w:qFormat/>
    <w:rPr>
      <w:rFonts w:cs="OpenSymbol"/>
    </w:rPr>
  </w:style>
  <w:style w:type="character" w:styleId="ListLabel816">
    <w:name w:val="ListLabel 816"/>
    <w:qFormat/>
    <w:rPr>
      <w:rFonts w:cs="OpenSymbol"/>
    </w:rPr>
  </w:style>
  <w:style w:type="character" w:styleId="ListLabel817">
    <w:name w:val="ListLabel 817"/>
    <w:qFormat/>
    <w:rPr>
      <w:rFonts w:cs="OpenSymbol"/>
    </w:rPr>
  </w:style>
  <w:style w:type="character" w:styleId="ListLabel818">
    <w:name w:val="ListLabel 818"/>
    <w:qFormat/>
    <w:rPr>
      <w:rFonts w:cs="OpenSymbol"/>
    </w:rPr>
  </w:style>
  <w:style w:type="character" w:styleId="ListLabel819">
    <w:name w:val="ListLabel 819"/>
    <w:qFormat/>
    <w:rPr>
      <w:rFonts w:cs="OpenSymbol"/>
    </w:rPr>
  </w:style>
  <w:style w:type="character" w:styleId="ListLabel820">
    <w:name w:val="ListLabel 820"/>
    <w:qFormat/>
    <w:rPr>
      <w:rFonts w:cs="OpenSymbol"/>
    </w:rPr>
  </w:style>
  <w:style w:type="character" w:styleId="ListLabel821">
    <w:name w:val="ListLabel 821"/>
    <w:qFormat/>
    <w:rPr>
      <w:rFonts w:cs="OpenSymbol"/>
    </w:rPr>
  </w:style>
  <w:style w:type="character" w:styleId="ListLabel822">
    <w:name w:val="ListLabel 822"/>
    <w:qFormat/>
    <w:rPr>
      <w:rFonts w:cs="OpenSymbol"/>
    </w:rPr>
  </w:style>
  <w:style w:type="character" w:styleId="ListLabel823">
    <w:name w:val="ListLabel 823"/>
    <w:qFormat/>
    <w:rPr>
      <w:rFonts w:cs="Wingdings"/>
      <w:b/>
    </w:rPr>
  </w:style>
  <w:style w:type="character" w:styleId="ListLabel824">
    <w:name w:val="ListLabel 824"/>
    <w:qFormat/>
    <w:rPr>
      <w:rFonts w:cs="Wingdings"/>
    </w:rPr>
  </w:style>
  <w:style w:type="character" w:styleId="ListLabel825">
    <w:name w:val="ListLabel 825"/>
    <w:qFormat/>
    <w:rPr>
      <w:rFonts w:ascii="Arial" w:hAnsi="Arial" w:cs="OpenSymbol"/>
      <w:b w:val="false"/>
      <w:sz w:val="22"/>
    </w:rPr>
  </w:style>
  <w:style w:type="character" w:styleId="ListLabel826">
    <w:name w:val="ListLabel 826"/>
    <w:qFormat/>
    <w:rPr>
      <w:rFonts w:cs="OpenSymbol"/>
    </w:rPr>
  </w:style>
  <w:style w:type="character" w:styleId="ListLabel827">
    <w:name w:val="ListLabel 827"/>
    <w:qFormat/>
    <w:rPr>
      <w:rFonts w:cs="OpenSymbol"/>
    </w:rPr>
  </w:style>
  <w:style w:type="character" w:styleId="ListLabel828">
    <w:name w:val="ListLabel 828"/>
    <w:qFormat/>
    <w:rPr>
      <w:rFonts w:cs="OpenSymbol"/>
    </w:rPr>
  </w:style>
  <w:style w:type="character" w:styleId="ListLabel829">
    <w:name w:val="ListLabel 829"/>
    <w:qFormat/>
    <w:rPr>
      <w:rFonts w:cs="OpenSymbol"/>
    </w:rPr>
  </w:style>
  <w:style w:type="character" w:styleId="ListLabel830">
    <w:name w:val="ListLabel 830"/>
    <w:qFormat/>
    <w:rPr>
      <w:rFonts w:cs="OpenSymbol"/>
    </w:rPr>
  </w:style>
  <w:style w:type="character" w:styleId="ListLabel831">
    <w:name w:val="ListLabel 831"/>
    <w:qFormat/>
    <w:rPr>
      <w:rFonts w:cs="OpenSymbol"/>
    </w:rPr>
  </w:style>
  <w:style w:type="character" w:styleId="ListLabel832">
    <w:name w:val="ListLabel 832"/>
    <w:qFormat/>
    <w:rPr>
      <w:rFonts w:cs="OpenSymbol"/>
    </w:rPr>
  </w:style>
  <w:style w:type="character" w:styleId="ListLabel833">
    <w:name w:val="ListLabel 833"/>
    <w:qFormat/>
    <w:rPr>
      <w:rFonts w:cs="OpenSymbol"/>
    </w:rPr>
  </w:style>
  <w:style w:type="character" w:styleId="ListLabel834">
    <w:name w:val="ListLabel 834"/>
    <w:qFormat/>
    <w:rPr>
      <w:rFonts w:cs="OpenSymbol"/>
      <w:b w:val="false"/>
      <w:sz w:val="22"/>
    </w:rPr>
  </w:style>
  <w:style w:type="character" w:styleId="ListLabel835">
    <w:name w:val="ListLabel 835"/>
    <w:qFormat/>
    <w:rPr>
      <w:rFonts w:cs="OpenSymbol"/>
    </w:rPr>
  </w:style>
  <w:style w:type="character" w:styleId="ListLabel836">
    <w:name w:val="ListLabel 836"/>
    <w:qFormat/>
    <w:rPr>
      <w:rFonts w:cs="OpenSymbol"/>
    </w:rPr>
  </w:style>
  <w:style w:type="character" w:styleId="ListLabel837">
    <w:name w:val="ListLabel 837"/>
    <w:qFormat/>
    <w:rPr>
      <w:rFonts w:cs="OpenSymbol"/>
    </w:rPr>
  </w:style>
  <w:style w:type="character" w:styleId="ListLabel838">
    <w:name w:val="ListLabel 838"/>
    <w:qFormat/>
    <w:rPr>
      <w:rFonts w:cs="OpenSymbol"/>
    </w:rPr>
  </w:style>
  <w:style w:type="character" w:styleId="ListLabel839">
    <w:name w:val="ListLabel 839"/>
    <w:qFormat/>
    <w:rPr>
      <w:rFonts w:cs="OpenSymbol"/>
    </w:rPr>
  </w:style>
  <w:style w:type="character" w:styleId="ListLabel840">
    <w:name w:val="ListLabel 840"/>
    <w:qFormat/>
    <w:rPr>
      <w:rFonts w:cs="OpenSymbol"/>
    </w:rPr>
  </w:style>
  <w:style w:type="character" w:styleId="ListLabel841">
    <w:name w:val="ListLabel 841"/>
    <w:qFormat/>
    <w:rPr>
      <w:rFonts w:cs="OpenSymbol"/>
    </w:rPr>
  </w:style>
  <w:style w:type="character" w:styleId="ListLabel842">
    <w:name w:val="ListLabel 842"/>
    <w:qFormat/>
    <w:rPr>
      <w:rFonts w:cs="OpenSymbol"/>
    </w:rPr>
  </w:style>
  <w:style w:type="character" w:styleId="ListLabel843">
    <w:name w:val="ListLabel 843"/>
    <w:qFormat/>
    <w:rPr>
      <w:rFonts w:cs="OpenSymbol"/>
      <w:b w:val="false"/>
      <w:sz w:val="22"/>
    </w:rPr>
  </w:style>
  <w:style w:type="character" w:styleId="ListLabel844">
    <w:name w:val="ListLabel 844"/>
    <w:qFormat/>
    <w:rPr>
      <w:rFonts w:cs="OpenSymbol"/>
    </w:rPr>
  </w:style>
  <w:style w:type="character" w:styleId="ListLabel845">
    <w:name w:val="ListLabel 845"/>
    <w:qFormat/>
    <w:rPr>
      <w:rFonts w:cs="OpenSymbol"/>
    </w:rPr>
  </w:style>
  <w:style w:type="character" w:styleId="ListLabel846">
    <w:name w:val="ListLabel 846"/>
    <w:qFormat/>
    <w:rPr>
      <w:rFonts w:cs="OpenSymbol"/>
    </w:rPr>
  </w:style>
  <w:style w:type="character" w:styleId="ListLabel847">
    <w:name w:val="ListLabel 847"/>
    <w:qFormat/>
    <w:rPr>
      <w:rFonts w:cs="OpenSymbol"/>
    </w:rPr>
  </w:style>
  <w:style w:type="character" w:styleId="ListLabel848">
    <w:name w:val="ListLabel 848"/>
    <w:qFormat/>
    <w:rPr>
      <w:rFonts w:cs="OpenSymbol"/>
    </w:rPr>
  </w:style>
  <w:style w:type="character" w:styleId="ListLabel849">
    <w:name w:val="ListLabel 849"/>
    <w:qFormat/>
    <w:rPr>
      <w:rFonts w:cs="OpenSymbol"/>
    </w:rPr>
  </w:style>
  <w:style w:type="character" w:styleId="ListLabel850">
    <w:name w:val="ListLabel 850"/>
    <w:qFormat/>
    <w:rPr>
      <w:rFonts w:cs="OpenSymbol"/>
    </w:rPr>
  </w:style>
  <w:style w:type="character" w:styleId="ListLabel851">
    <w:name w:val="ListLabel 851"/>
    <w:qFormat/>
    <w:rPr>
      <w:rFonts w:cs="OpenSymbol"/>
    </w:rPr>
  </w:style>
  <w:style w:type="character" w:styleId="ListLabel852">
    <w:name w:val="ListLabel 852"/>
    <w:qFormat/>
    <w:rPr>
      <w:rFonts w:cs="OpenSymbol"/>
      <w:b w:val="false"/>
      <w:sz w:val="24"/>
    </w:rPr>
  </w:style>
  <w:style w:type="character" w:styleId="ListLabel853">
    <w:name w:val="ListLabel 853"/>
    <w:qFormat/>
    <w:rPr>
      <w:rFonts w:cs="OpenSymbol"/>
    </w:rPr>
  </w:style>
  <w:style w:type="character" w:styleId="ListLabel854">
    <w:name w:val="ListLabel 854"/>
    <w:qFormat/>
    <w:rPr>
      <w:rFonts w:cs="OpenSymbol"/>
    </w:rPr>
  </w:style>
  <w:style w:type="character" w:styleId="ListLabel855">
    <w:name w:val="ListLabel 855"/>
    <w:qFormat/>
    <w:rPr>
      <w:rFonts w:cs="OpenSymbol"/>
    </w:rPr>
  </w:style>
  <w:style w:type="character" w:styleId="ListLabel856">
    <w:name w:val="ListLabel 856"/>
    <w:qFormat/>
    <w:rPr>
      <w:rFonts w:cs="OpenSymbol"/>
    </w:rPr>
  </w:style>
  <w:style w:type="character" w:styleId="ListLabel857">
    <w:name w:val="ListLabel 857"/>
    <w:qFormat/>
    <w:rPr>
      <w:rFonts w:cs="OpenSymbol"/>
    </w:rPr>
  </w:style>
  <w:style w:type="character" w:styleId="ListLabel858">
    <w:name w:val="ListLabel 858"/>
    <w:qFormat/>
    <w:rPr>
      <w:rFonts w:cs="OpenSymbol"/>
    </w:rPr>
  </w:style>
  <w:style w:type="character" w:styleId="ListLabel859">
    <w:name w:val="ListLabel 859"/>
    <w:qFormat/>
    <w:rPr>
      <w:rFonts w:cs="OpenSymbol"/>
    </w:rPr>
  </w:style>
  <w:style w:type="character" w:styleId="ListLabel860">
    <w:name w:val="ListLabel 860"/>
    <w:qFormat/>
    <w:rPr>
      <w:rFonts w:cs="OpenSymbol"/>
    </w:rPr>
  </w:style>
  <w:style w:type="character" w:styleId="ListLabel861">
    <w:name w:val="ListLabel 861"/>
    <w:qFormat/>
    <w:rPr>
      <w:rFonts w:cs="OpenSymbol"/>
      <w:b w:val="false"/>
      <w:sz w:val="24"/>
    </w:rPr>
  </w:style>
  <w:style w:type="character" w:styleId="ListLabel862">
    <w:name w:val="ListLabel 862"/>
    <w:qFormat/>
    <w:rPr>
      <w:rFonts w:cs="OpenSymbol"/>
    </w:rPr>
  </w:style>
  <w:style w:type="character" w:styleId="ListLabel863">
    <w:name w:val="ListLabel 863"/>
    <w:qFormat/>
    <w:rPr>
      <w:rFonts w:cs="OpenSymbol"/>
    </w:rPr>
  </w:style>
  <w:style w:type="character" w:styleId="ListLabel864">
    <w:name w:val="ListLabel 864"/>
    <w:qFormat/>
    <w:rPr>
      <w:rFonts w:cs="OpenSymbol"/>
    </w:rPr>
  </w:style>
  <w:style w:type="character" w:styleId="ListLabel865">
    <w:name w:val="ListLabel 865"/>
    <w:qFormat/>
    <w:rPr>
      <w:rFonts w:cs="OpenSymbol"/>
    </w:rPr>
  </w:style>
  <w:style w:type="character" w:styleId="ListLabel866">
    <w:name w:val="ListLabel 866"/>
    <w:qFormat/>
    <w:rPr>
      <w:rFonts w:cs="OpenSymbol"/>
    </w:rPr>
  </w:style>
  <w:style w:type="character" w:styleId="ListLabel867">
    <w:name w:val="ListLabel 867"/>
    <w:qFormat/>
    <w:rPr>
      <w:rFonts w:cs="OpenSymbol"/>
    </w:rPr>
  </w:style>
  <w:style w:type="character" w:styleId="ListLabel868">
    <w:name w:val="ListLabel 868"/>
    <w:qFormat/>
    <w:rPr>
      <w:rFonts w:cs="OpenSymbol"/>
    </w:rPr>
  </w:style>
  <w:style w:type="character" w:styleId="ListLabel869">
    <w:name w:val="ListLabel 869"/>
    <w:qFormat/>
    <w:rPr>
      <w:rFonts w:cs="OpenSymbol"/>
    </w:rPr>
  </w:style>
  <w:style w:type="character" w:styleId="ListLabel870">
    <w:name w:val="ListLabel 870"/>
    <w:qFormat/>
    <w:rPr>
      <w:rFonts w:cs="OpenSymbol"/>
    </w:rPr>
  </w:style>
  <w:style w:type="character" w:styleId="ListLabel871">
    <w:name w:val="ListLabel 871"/>
    <w:qFormat/>
    <w:rPr>
      <w:rFonts w:cs="OpenSymbol"/>
    </w:rPr>
  </w:style>
  <w:style w:type="character" w:styleId="ListLabel872">
    <w:name w:val="ListLabel 872"/>
    <w:qFormat/>
    <w:rPr>
      <w:rFonts w:cs="OpenSymbol"/>
    </w:rPr>
  </w:style>
  <w:style w:type="character" w:styleId="ListLabel873">
    <w:name w:val="ListLabel 873"/>
    <w:qFormat/>
    <w:rPr>
      <w:rFonts w:cs="OpenSymbol"/>
    </w:rPr>
  </w:style>
  <w:style w:type="character" w:styleId="ListLabel874">
    <w:name w:val="ListLabel 874"/>
    <w:qFormat/>
    <w:rPr>
      <w:rFonts w:cs="OpenSymbol"/>
    </w:rPr>
  </w:style>
  <w:style w:type="character" w:styleId="ListLabel875">
    <w:name w:val="ListLabel 875"/>
    <w:qFormat/>
    <w:rPr>
      <w:rFonts w:cs="OpenSymbol"/>
    </w:rPr>
  </w:style>
  <w:style w:type="character" w:styleId="ListLabel876">
    <w:name w:val="ListLabel 876"/>
    <w:qFormat/>
    <w:rPr>
      <w:rFonts w:cs="OpenSymbol"/>
    </w:rPr>
  </w:style>
  <w:style w:type="character" w:styleId="ListLabel877">
    <w:name w:val="ListLabel 877"/>
    <w:qFormat/>
    <w:rPr>
      <w:rFonts w:cs="OpenSymbol"/>
    </w:rPr>
  </w:style>
  <w:style w:type="character" w:styleId="ListLabel878">
    <w:name w:val="ListLabel 878"/>
    <w:qFormat/>
    <w:rPr>
      <w:rFonts w:cs="OpenSymbol"/>
    </w:rPr>
  </w:style>
  <w:style w:type="character" w:styleId="ListLabel879">
    <w:name w:val="ListLabel 879"/>
    <w:qFormat/>
    <w:rPr>
      <w:rFonts w:cs="OpenSymbol"/>
      <w:b w:val="false"/>
      <w:sz w:val="24"/>
    </w:rPr>
  </w:style>
  <w:style w:type="character" w:styleId="ListLabel880">
    <w:name w:val="ListLabel 880"/>
    <w:qFormat/>
    <w:rPr>
      <w:rFonts w:cs="OpenSymbol"/>
    </w:rPr>
  </w:style>
  <w:style w:type="character" w:styleId="ListLabel881">
    <w:name w:val="ListLabel 881"/>
    <w:qFormat/>
    <w:rPr>
      <w:rFonts w:cs="OpenSymbol"/>
    </w:rPr>
  </w:style>
  <w:style w:type="character" w:styleId="ListLabel882">
    <w:name w:val="ListLabel 882"/>
    <w:qFormat/>
    <w:rPr>
      <w:rFonts w:cs="OpenSymbol"/>
    </w:rPr>
  </w:style>
  <w:style w:type="character" w:styleId="ListLabel883">
    <w:name w:val="ListLabel 883"/>
    <w:qFormat/>
    <w:rPr>
      <w:rFonts w:cs="OpenSymbol"/>
    </w:rPr>
  </w:style>
  <w:style w:type="character" w:styleId="ListLabel884">
    <w:name w:val="ListLabel 884"/>
    <w:qFormat/>
    <w:rPr>
      <w:rFonts w:cs="OpenSymbol"/>
    </w:rPr>
  </w:style>
  <w:style w:type="character" w:styleId="ListLabel885">
    <w:name w:val="ListLabel 885"/>
    <w:qFormat/>
    <w:rPr>
      <w:rFonts w:cs="OpenSymbol"/>
    </w:rPr>
  </w:style>
  <w:style w:type="character" w:styleId="ListLabel886">
    <w:name w:val="ListLabel 886"/>
    <w:qFormat/>
    <w:rPr>
      <w:rFonts w:cs="OpenSymbol"/>
    </w:rPr>
  </w:style>
  <w:style w:type="character" w:styleId="ListLabel887">
    <w:name w:val="ListLabel 887"/>
    <w:qFormat/>
    <w:rPr>
      <w:rFonts w:cs="OpenSymbol"/>
    </w:rPr>
  </w:style>
  <w:style w:type="character" w:styleId="ListLabel888">
    <w:name w:val="ListLabel 888"/>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Application>LibreOffice/6.0.7.3$Linux_X86_64 LibreOffice_project/00m0$Build-3</Application>
  <Pages>17</Pages>
  <Words>2385</Words>
  <Characters>16425</Characters>
  <CharactersWithSpaces>19721</CharactersWithSpaces>
  <Paragraphs>299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2022-08-04T11:23:44Z</dcterms:modified>
  <cp:revision>41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